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KugBeV 3 — Inkrafttreten, Außerkrafttreten</w:t>
      </w:r>
    </w:p>
    <w:p>
      <w:r>
        <w:rPr>
          <w:color w:val="555555"/>
          <w:sz w:val="18"/>
        </w:rPr>
        <w:t xml:space="preserve">Dritte Kurzarbeitergeldbezugsdauerverordnung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Diese Verordnung tritt am 1. Januar 2025 in Kraft. Sie tritt mit Ablauf des 31. Dezember 2025 außer Kraft.</w:t>
      </w:r>
    </w:p>
    <w:p>
      <w:r>
        <w:rPr>
          <w:color w:val="555555"/>
          <w:sz w:val="17"/>
        </w:rPr>
        <w:t xml:space="preserve">Zitiervorschlag: § 2 KugBeV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