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KugÖV</w:t>
      </w:r>
    </w:p>
    <w:p>
      <w:r>
        <w:rPr>
          <w:color w:val="555555"/>
          <w:sz w:val="18"/>
        </w:rPr>
        <w:t xml:space="preserve">Kurzarbeitergeldöffnungsverordnung</w:t>
      </w:r>
    </w:p>
    <w:p>
      <w:r>
        <w:rPr>
          <w:color w:val="555555"/>
          <w:sz w:val="18"/>
        </w:rPr>
        <w:t xml:space="preserve">Stand: 01.10.2022 (konsolidierte Textfassung, kein amtliches Inkrafttretensdatum)</w:t>
      </w:r>
    </w:p>
    <w:p>
      <w:r>
        <w:t xml:space="preserve">Auf Grund des § 11a des Arbeitnehmerüberlassungsgesetzes, der durch Artikel 1a Nummer 2 des Gesetzes vom 18. März 2022 (BGBl. I S. 466) geändert worden ist, verordnet die Bundesregierung:</w:t>
      </w:r>
    </w:p>
    <w:p>
      <w:r>
        <w:rPr>
          <w:color w:val="555555"/>
          <w:sz w:val="17"/>
        </w:rPr>
        <w:t xml:space="preserve">Zitiervorschlag: Eingangsformel KugÖV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https://recht.nulegal.eu/gesetze/Kug%C3%96V/eingangsformel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