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KugÖV — Inkrafttreten</w:t>
      </w:r>
    </w:p>
    <w:p>
      <w:r>
        <w:rPr>
          <w:color w:val="555555"/>
          <w:sz w:val="18"/>
        </w:rPr>
        <w:t xml:space="preserve">Kurzarbeitergeldöffnungsverordnung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Diese Verordnung tritt am 30. September 2022 in Kraft.</w:t>
      </w:r>
    </w:p>
    <w:p>
      <w:r>
        <w:rPr>
          <w:color w:val="555555"/>
          <w:sz w:val="17"/>
        </w:rPr>
        <w:t xml:space="preserve">Zitiervorschlag: § 2 KugÖV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https://recht.nulegal.eu/gesetze/Kug%C3%96V/2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