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KuArbGeldFristV 2012 — Inkrafttreten, Außerkrafttreten</w:t>
      </w:r>
    </w:p>
    <w:p>
      <w:r>
        <w:rPr>
          <w:color w:val="555555"/>
          <w:sz w:val="18"/>
        </w:rPr>
        <w:t xml:space="preserve">Verordnung über die Bezugsdauer für das Kurzarbeitergeld</w:t>
      </w:r>
    </w:p>
    <w:p>
      <w:r>
        <w:rPr>
          <w:color w:val="555555"/>
          <w:sz w:val="18"/>
        </w:rPr>
        <w:t xml:space="preserve">Historische Fassung: Stand 10.06.2019 bis 21.04.2020. Dies ist nicht die aktuelle Fassung.</w:t>
      </w:r>
    </w:p>
    <w:p>
      <w:r>
        <w:t xml:space="preserve">Diese Verordnung tritt am Tag nach der Verkündung in Kraft. Gleichzeitig tritt die Verordnung über die Bezugsdauer für das Kurzarbeitergeld vom 26. November 2008 (BGBl. I S. 2332), die zuletzt durch Artikel 44 des Gesetzes vom 20. Dezember 2011 (BGBl. I S. 2854) geändert worden ist, außer Kraft.</w:t>
      </w:r>
    </w:p>
    <w:p>
      <w:r>
        <w:rPr>
          <w:color w:val="555555"/>
          <w:sz w:val="17"/>
        </w:rPr>
        <w:t xml:space="preserve">Zitiervorschlag: § 2 KuArbGeldFristV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https://recht.nulegal.eu/gesetze/KuArbGeldFristV%202012/2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