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KtgWV 1963</w:t>
      </w:r>
    </w:p>
    <w:p>
      <w:r>
        <w:rPr>
          <w:color w:val="555555"/>
          <w:sz w:val="18"/>
        </w:rPr>
        <w:t xml:space="preserve">Verordnung über die zollfreie Einfuhr von Kontingentswaren aus Frankreich in das Saarland (KtgWV)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7 Abs. 1 und 2 des Gesetzes über die Einführung des deutschen Rechts auf dem Gebiete der Steuern, Zölle und Finanzmonopole im Saarland vom 30. Juni 1959 (Bundesgesetzbl. I S. 339) in der Fassung des Gesetzes zur Änderung des Gesetzes über die Finanzverwaltung, der Reichsabgabenordnung und anderer Steuergesetze vom 23. April 1963 (Bundesgesetzbl. I S. 197) und des § 78 Abs. 1 Nr. 3 des Zollgesetzes vom 14. Juni 1961 (Bundesgesetzbl. I S. 737), zuletzt geändert durch das Gesetz zur Änderung des Zollgesetzes vom 4. September 1962 (Bundesgesetzbl. I S. 605), wird verordnet:</w:t>
      </w:r>
    </w:p>
    <w:p>
      <w:r>
        <w:rPr>
          <w:color w:val="555555"/>
          <w:sz w:val="17"/>
        </w:rPr>
        <w:t xml:space="preserve">Zitiervorschlag: Eingangsformel KtgWV 1963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https://recht.nulegal.eu/gesetze/KtgWV%201963/eingangsformel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