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KtEfV</w:t>
      </w:r>
    </w:p>
    <w:p>
      <w:r>
        <w:rPr>
          <w:color w:val="555555"/>
          <w:sz w:val="18"/>
        </w:rPr>
        <w:t xml:space="preserve">Kommunalträger-Eignungsfeststellungsverordnung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6a Absatz 3 des Zweiten Buches Sozialgesetzbuch – Grundsicherung für Arbeitsuchende –, der durch Artikel 1 Nummer 3 des Gesetzes vom 3. August 2010 (BGBl. I S. 1112) neu gefasst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KtEfV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https://recht.nulegal.eu/gesetze/KtEfV/eingangsformel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