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KtEfV — Inkrafttreten</w:t>
      </w:r>
    </w:p>
    <w:p>
      <w:r>
        <w:rPr>
          <w:color w:val="555555"/>
          <w:sz w:val="18"/>
        </w:rPr>
        <w:t xml:space="preserve">Kommunalträger-Eignungsfeststellungsverordnung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23. August 2010 in Kraft.</w:t>
      </w:r>
    </w:p>
    <w:p>
      <w:r>
        <w:rPr>
          <w:color w:val="555555"/>
          <w:sz w:val="17"/>
        </w:rPr>
        <w:t xml:space="preserve">Zitiervorschlag: § 4 KtEfV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https://recht.nulegal.eu/gesetze/KtEfV/4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