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KtEfV — Eignungskriterien</w:t>
      </w:r>
    </w:p>
    <w:p>
      <w:r>
        <w:rPr>
          <w:color w:val="555555"/>
          <w:sz w:val="18"/>
        </w:rPr>
        <w:t xml:space="preserve">Kommunalträger-Eignungsfeststellungsverordnung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kommunale Träger stellt in dem Konzept nach § 2 Absatz 1 die organisatorische Leistungsfähigkeit seiner Verwaltung dar. Dieses muss zu folgenden Bereichen Angaben enthalten:</w:t>
      </w:r>
    </w:p>
    <w:p>
      <w:pPr>
        <w:ind w:left="420"/>
      </w:pPr>
      <w:r>
        <w:t xml:space="preserve">1. infrastrukturelle Voraussetzungen,</w:t>
      </w:r>
    </w:p>
    <w:p>
      <w:pPr>
        <w:ind w:left="420"/>
      </w:pPr>
      <w:r>
        <w:t xml:space="preserve">2. Personalqualifizierung,</w:t>
      </w:r>
    </w:p>
    <w:p>
      <w:pPr>
        <w:ind w:left="420"/>
      </w:pPr>
      <w:r>
        <w:t xml:space="preserve">3. Aktenführung und Rechnungslegung und</w:t>
      </w:r>
    </w:p>
    <w:p>
      <w:pPr>
        <w:ind w:left="420"/>
      </w:pPr>
      <w:r>
        <w:t xml:space="preserve">4. bestehende und geplante Verwaltungskooperationen sowie Kooperationen mit Dritten.</w:t>
      </w:r>
    </w:p>
    <w:p>
      <w:r>
        <w:t xml:space="preserve">(2) Der kommunale Träger stellt zum Nachweis seiner Fähigkeit zur Erfüllung der Aufgaben und Ziele nach § 1 des Zweiten Buches Sozialgesetzbuch dar,</w:t>
      </w:r>
    </w:p>
    <w:p>
      <w:pPr>
        <w:ind w:left="420"/>
      </w:pPr>
      <w:r>
        <w:t xml:space="preserve">1. mit welchem Konzept und mit welchem Erfolg er sich seit 2003 arbeitsmarktpolitisch engagiert hat und wie dieses Engagement künftig ausgestaltet werden soll,</w:t>
      </w:r>
    </w:p>
    <w:p>
      <w:pPr>
        <w:ind w:left="420"/>
      </w:pPr>
      <w:r>
        <w:t xml:space="preserve">2. nach welchen Grundsätzen und in welchem Umfang er seit 2005 kommunale Eingliederungsleistungen erbracht hat und wie die Erbringung kommunaler Eingliederungsleistungen künftig ausgestaltet werden soll,</w:t>
      </w:r>
    </w:p>
    <w:p>
      <w:pPr>
        <w:ind w:left="420"/>
      </w:pPr>
      <w:r>
        <w:t xml:space="preserve">3. wie die kommunalen Eingliederungsleistungen bisher mit Leistungen der Agenturen für Arbeit verknüpft wurden und zukünftig verknüpft werden sollen,</w:t>
      </w:r>
    </w:p>
    <w:p>
      <w:pPr>
        <w:ind w:left="420"/>
      </w:pPr>
      <w:r>
        <w:t xml:space="preserve">4. nach welchen Zweckmäßigkeitserwägungen die arbeitsmarktpolitischen Leistungen erbracht werden sollen und</w:t>
      </w:r>
    </w:p>
    <w:p>
      <w:pPr>
        <w:ind w:left="420"/>
      </w:pPr>
      <w:r>
        <w:t xml:space="preserve">5. wie das Eingliederungsbudget verwendet und eine bürgerfreundliche und wirksame Arbeitsvermittlung aufgebaut werden soll.</w:t>
      </w:r>
    </w:p>
    <w:p>
      <w:r>
        <w:t xml:space="preserve">(3) Der kommunale Träger legt ein Konzept für eine überregionale Arbeitsvermittlung vor.</w:t>
      </w:r>
    </w:p>
    <w:p>
      <w:r>
        <w:t xml:space="preserve">(4) Der kommunale Träger legt ein Konzept für ein transparentes internes System zur Kontrolle der recht- und zweckmäßigen Leistungserbringung und Mittelverwendung vor.</w:t>
      </w:r>
    </w:p>
    <w:p>
      <w:r>
        <w:t xml:space="preserve">(5) Der kommunale Träger legt ein Konzept für den Übergang der in seinem Gebiet bestehenden Aufgabenwahrnehmung in die zugelassene kommunale Trägerschaft vor. Das Konzept umfasst einen Arbeits- und Zeitplan zur Vorbereitung der Trägerschaft, zur rechtlichen und tatsächlichen Abwicklung der bestehenden Trägerform sowie zur Überführung des Daten- und Aktenbestandes und des Eigentums in die zugelassene kommunale Trägerschaft.</w:t>
      </w:r>
    </w:p>
    <w:p>
      <w:r>
        <w:rPr>
          <w:color w:val="555555"/>
          <w:sz w:val="17"/>
        </w:rPr>
        <w:t xml:space="preserve">Zitiervorschlag: § 3 KtEfV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https://recht.nulegal.eu/gesetze/KtEfV/3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