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KtEfV — Voraussetzungen der Eignungsfeststellung</w:t>
      </w:r>
    </w:p>
    <w:p>
      <w:r>
        <w:rPr>
          <w:color w:val="555555"/>
          <w:sz w:val="18"/>
        </w:rPr>
        <w:t xml:space="preserve">Kommunalträger-Eignungsfeststellungsverordnung</w:t>
      </w:r>
    </w:p>
    <w:p>
      <w:r>
        <w:rPr>
          <w:color w:val="555555"/>
          <w:sz w:val="18"/>
        </w:rPr>
        <w:t xml:space="preserve">Stand: 10.06.2019 (konsolidierte Textfassung, kein amtliches Inkrafttretensdatum)</w:t>
      </w:r>
    </w:p>
    <w:p>
      <w:r>
        <w:t xml:space="preserve">(1) Zur Feststellung der Eignung und Bestimmung der Reihenfolge haben die antragstellenden kommunalen Träger mit dem Antrag bei der zuständigen obersten Landesbehörde Konzepte zu ihrer Eignung zur alleinigen Aufgabenwahrnehmung nach § 3 einzureichen und die Verpflichtungserklärungen nach § 6a Absatz 2 Satz 1 Nummer 2 bis 5 des Zweiten Buches Sozialgesetzbuch abzugeben.</w:t>
      </w:r>
    </w:p>
    <w:p>
      <w:r>
        <w:t xml:space="preserve">(2) Zur Bewertung der eingereichten Konzepte erstellen die zuständigen obersten Landesbehörden eine Bewertungsmatrix, anhand derer die zuständigen obersten Landesbehörden eine Punktzahl vergeben. Der kommunale Träger muss bei jedem Kriterium eine von der zuständigen obersten Landesbehörde festzulegende Mindestpunktzahl erzielen. Die summierten Einzelwerte müssen ihrerseits eine von der zuständigen obersten Landesbehörde zu bestimmende Mindestpunktzahl ergeben. Die erreichte Punktzahl ist auch maßgeblich für die Platzierung in der für das jeweilige Land von der zuständigen obersten Landesbehörde zu erstellenden Reihenfolge.</w:t>
      </w:r>
    </w:p>
    <w:p>
      <w:r>
        <w:rPr>
          <w:color w:val="555555"/>
          <w:sz w:val="17"/>
        </w:rPr>
        <w:t xml:space="preserve">Zitiervorschlag: § 2 KtEfV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https://recht.nulegal.eu/gesetze/KtEfV/2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