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KryptoWTransferV 2023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25.06.2023 bis 24.04.2025. Dies ist nicht die aktuelle Fassung.</w:t>
      </w:r>
    </w:p>
    <w:p>
      <w:r>
        <w:t xml:space="preserve">Auf Grund des § 15 Absatz 10 Satz 1 Nummer 1 des Geldwäschegesetzes vom 23. Juni 2017 (BGBl. I S. 1822), der durch Artikel 1 Nummer 14 Buchstabe h des Gesetzes vom 12. Dezember 2019 (BGBl. I S. 2602)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KryptoWTransferV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