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KryptoWTransferV 2023 — Inkrafttreten; Außerkrafttreten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25.06.2023 bis 24.04.2025. Dies ist nicht die aktuelle Fassung.</w:t>
      </w:r>
    </w:p>
    <w:p>
      <w:r>
        <w:t xml:space="preserve">(1) Diese Verordnung tritt am 27. Mai 2023 in Kraft. Gleichzeitig tritt die Kryptowertetransferverordnung vom 24. September 2021 (BGBl. I S. 4465) außer Kraft.</w:t>
      </w:r>
    </w:p>
    <w:p>
      <w:r>
        <w:t xml:space="preserve">(2) Diese Verordnung tritt an dem Tag außer Kraft, ab dem die Neufassung der Verordnung (EU) 2015/847 gilt. Der Tag des Außerkrafttretens wird vom Bundesministerium der Finanzen im Bundesgesetzblatt bekanntgegeben.</w:t>
      </w:r>
    </w:p>
    <w:p>
      <w:r>
        <w:rPr>
          <w:color w:val="555555"/>
          <w:sz w:val="17"/>
        </w:rPr>
        <w:t xml:space="preserve">Zitiervorschlag: § 7 KryptoWTransferV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https://recht.nulegal.eu/gesetze/KryptoWTransferV%202023/7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