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KryptoWTransferV 2023 — Evaluierung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25.06.2023 bis 24.04.2025. Dies ist nicht die aktuelle Fassung.</w:t>
      </w:r>
    </w:p>
    <w:p>
      <w:r>
        <w:t xml:space="preserve">Diese Verordnung wird bis zum 30. Juni 2024 durch das Bundesministerium der Finanzen auf der Grundlage eines Berichts der zuständigen Aufsichtsbehörde nach § 50 Nummer 1 des Geldwäschegesetzes evaluiert, sofern nicht bis zu diesem Zeitpunkt die Neufassung der Verordnung (EU) 2015/847 in Kraft getreten ist.</w:t>
      </w:r>
    </w:p>
    <w:p>
      <w:r>
        <w:rPr>
          <w:color w:val="555555"/>
          <w:sz w:val="17"/>
        </w:rPr>
        <w:t xml:space="preserve">Zitiervorschlag: § 6 KryptoWTransferV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https://recht.nulegal.eu/gesetze/KryptoWTransferV%202023/6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