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KryptoWTransferV 2023 — Pflicht zur Erhebung, Speicherung und Übermittlung von Daten bei Transfers zwischen Kryptowertedienstleistern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25.06.2023 bis 24.04.2025. Dies ist nicht die aktuelle Fassung.</w:t>
      </w:r>
    </w:p>
    <w:p>
      <w:r>
        <w:t xml:space="preserve">(1) Für Verpflichtete, die einen Transfer für den Auftraggeber vornehmen, finden die Vorschriften für Pflichten des Zahlungsdienstleisters des Auftraggebers nach den Artikeln 4 und 6 der Verordnung (EU) 2015/847 des Europäischen Parlaments und des Rates vom 20. Mai 2015 über die Übermittlung von Angaben bei Geldtransfers und zur Aufhebung der Verordnung (EU) Nr. 1781/2006 (ABl. L 141 vom 5.6.2015, S. 1), die durch die Verordnung (EU) 2019/2175 (ABl. L 334 vom 27.12.2019, S. 1) geändert worden ist, entsprechend Anwendung, wenn an dem Transfer für den Auftraggeber und den Begünstigten ausschließlich Kryptowertedienstleister beteiligt sind.</w:t>
      </w:r>
    </w:p>
    <w:p>
      <w:r>
        <w:t xml:space="preserve">(2) Für Verpflichtete, die einen Transfer für den Begünstigten entgegennehmen, finden die Vorschriften für Pflichten des Zahlungsdienstleisters des Begünstigten nach den Artikeln 7, 8 und 9 der Verordnung (EU) 2015/847 entsprechend Anwendung, wenn an dem Transfer für den Auftraggeber und den Begünstigten ausschließlich Kryptowertedienstleister beteiligt sind.</w:t>
      </w:r>
    </w:p>
    <w:p>
      <w:r>
        <w:rPr>
          <w:color w:val="555555"/>
          <w:sz w:val="17"/>
        </w:rPr>
        <w:t xml:space="preserve">Zitiervorschlag: § 3 KryptoWTransferV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https://recht.nulegal.eu/gesetze/KryptoWTransferV%202023/3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