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KryptoWTransferV 2023 — Regelungsbereich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25.06.2023 bis 24.04.2025. Dies ist nicht die aktuelle Fassung.</w:t>
      </w:r>
    </w:p>
    <w:p>
      <w:r>
        <w:t xml:space="preserve">Diese Verordnung regelt verstärkte Sorgfaltspflichten für Verpflichtete nach § 2 Absatz 1 Nummer 1 und 2 des Geldwäschegesetzes, die Transfers von Kryptowerten im Sinne von § 1 Absatz 29 des Geldwäschegesetzes durchführen.</w:t>
      </w:r>
    </w:p>
    <w:p>
      <w:r>
        <w:rPr>
          <w:color w:val="555555"/>
          <w:sz w:val="17"/>
        </w:rPr>
        <w:t xml:space="preserve">Zitiervorschlag: § 1 KryptoWTransferV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https://recht.nulegal.eu/gesetze/KryptoWTransferV%202023/1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