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KryptoFAV — Inkrafttreten</w:t>
      </w:r>
    </w:p>
    <w:p>
      <w:r>
        <w:rPr>
          <w:color w:val="555555"/>
          <w:sz w:val="18"/>
        </w:rPr>
        <w:t xml:space="preserve">Verordnung über Kryptofondsanteile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KryptoFAV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https://recht.nulegal.eu/gesetze/KryptoFAV/4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