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KryptoFAV — Registerführende Stelle</w:t>
      </w:r>
    </w:p>
    <w:p>
      <w:r>
        <w:rPr>
          <w:color w:val="555555"/>
          <w:sz w:val="18"/>
        </w:rPr>
        <w:t xml:space="preserve">Verordnung über Kryptofondsanteile</w:t>
      </w:r>
    </w:p>
    <w:p>
      <w:r>
        <w:rPr>
          <w:color w:val="555555"/>
          <w:sz w:val="18"/>
        </w:rPr>
        <w:t xml:space="preserve">Stand: 18.04.2026 (konsolidierte Textfassung, kein amtliches Inkrafttretensdatum)</w:t>
      </w:r>
    </w:p>
    <w:p>
      <w:r>
        <w:t xml:space="preserve">Abweichend von § 16 Absatz 2 des Gesetzes über elektronische Wertpapiere ist registerführende Stelle bei Kryptofondsanteilen die Verwahrstelle oder ein anderes von der Verwahrstelle beauftragtes Unternehmen, das gemäß § 1 Absatz 1a Satz 2 Nummer 8 in Verbindung mit § 32 Absatz 1 Satz 1 des Kreditwesengesetzes oder gemäß § 2 Absatz 4 Nummer 4 in Verbindung mit § 15 Absatz 1 des Wertpapierinstitutsgesetzes über eine Erlaubnis zur Kryptowertpapierregisterführung verfügt. Beauftragt die Verwahrstelle gemäß Satz 1 ein anderes Unternehmen, muss sie sicherstellen, dass sie ihren Aufgaben und Verpflichtungen gemäß den §§ 70 bis 78 Absatz 1 und § 79 oder gemäß den §§ 81 bis 89 Absatz 1 und den §§ 89a und 90 des Kapitalanlagegesetzbuchs nachkommen kann.</w:t>
      </w:r>
    </w:p>
    <w:p>
      <w:r>
        <w:rPr>
          <w:color w:val="555555"/>
          <w:sz w:val="17"/>
        </w:rPr>
        <w:t xml:space="preserve">Zitiervorschlag: § 3 KryptoFAV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https://recht.nulegal.eu/gesetze/KryptoFAV/3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