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KryptoFAV — Anwendbare Vorschriften</w:t>
      </w:r>
    </w:p>
    <w:p>
      <w:r>
        <w:rPr>
          <w:color w:val="555555"/>
          <w:sz w:val="18"/>
        </w:rPr>
        <w:t xml:space="preserve">Verordnung über Kryptofondsanteile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Auf Kryptofondsanteile sind § 4 Absatz 11, § 8, die §§ 16 bis 23 mit Ausnahme von § 17 Absatz 1 Nummer 2 und 3, sowie die §§ 30 und 31 Absatz 1 und 2 Nummer 13 bis 15 des Gesetzes über elektronische Wertpapiere entsprechend anzuwenden mit der Maßgabe, dass</w:t>
      </w:r>
    </w:p>
    <w:p>
      <w:pPr>
        <w:ind w:left="420"/>
      </w:pPr>
      <w:r>
        <w:t xml:space="preserve">1. an die Stelle des Kryptowertpapiers oder der Schuldverschreibung der Kryptofondsanteil tritt,</w:t>
      </w:r>
    </w:p>
    <w:p>
      <w:pPr>
        <w:ind w:left="420"/>
      </w:pPr>
      <w:r>
        <w:t xml:space="preserve">2. an die Stelle der Emissionsbedingungen die Anlagebedingungen treten,</w:t>
      </w:r>
    </w:p>
    <w:p>
      <w:pPr>
        <w:ind w:left="420"/>
      </w:pPr>
      <w:r>
        <w:t xml:space="preserve">3. an die Stelle des Berechtigten der Anleger tritt.</w:t>
      </w:r>
    </w:p>
    <w:p>
      <w:r>
        <w:rPr>
          <w:color w:val="555555"/>
          <w:sz w:val="17"/>
        </w:rPr>
        <w:t xml:space="preserve">Zitiervorschlag: § 2 KryptoFAV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https://recht.nulegal.eu/gesetze/KryptoFAV/2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