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KryptoFAV — Kryptofondsanteile</w:t>
      </w:r>
    </w:p>
    <w:p>
      <w:r>
        <w:rPr>
          <w:color w:val="555555"/>
          <w:sz w:val="18"/>
        </w:rPr>
        <w:t xml:space="preserve">Verordnung über Kryptofondsanteile</w:t>
      </w:r>
    </w:p>
    <w:p>
      <w:r>
        <w:rPr>
          <w:color w:val="555555"/>
          <w:sz w:val="18"/>
        </w:rPr>
        <w:t xml:space="preserve">Stand: 18.06.2022 (konsolidierte Textfassung, kein amtliches Inkrafttretensdatum)</w:t>
      </w:r>
    </w:p>
    <w:p>
      <w:r>
        <w:t xml:space="preserve">Anteile an Sondervermögen oder an einzelnen Anteilklassen eines Sondervermögens können vollständig oder teilweise auch als Kryptofondsanteile begeben werden. Kryptofondsanteile sind elektronische Anteilscheine, die in ein Kryptowertpapierregister eingetragen sind.</w:t>
      </w:r>
    </w:p>
    <w:p>
      <w:r>
        <w:rPr>
          <w:color w:val="555555"/>
          <w:sz w:val="17"/>
        </w:rPr>
        <w:t xml:space="preserve">Zitiervorschlag: § 1 KryptoFAV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https://recht.nulegal.eu/gesetze/KryptoFAV/1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