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KredWGAUSFreistV</w:t>
      </w:r>
    </w:p>
    <w:p>
      <w:r>
        <w:rPr>
          <w:color w:val="555555"/>
          <w:sz w:val="18"/>
        </w:rPr>
        <w:t xml:space="preserve">Verordnung über die Freistellung der Zweigstellen von Kreditinstituten mit Sitz in Australien von Vorschriften des Gesetzes über das Kreditwesen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§ 10 Absatz 1 und 3 bis 7 und die §§ 10a bis 10j des Kreditwesengesetzes sowie die zugehörigen Vorgaben der Artikel 430 bis 455 der Verordnung (EU) Nr. 575/2013 in der jeweils geltenden Fassung sind nicht auf die in § 1 genannten Zweigstellen anzuwenden.</w:t>
      </w:r>
    </w:p>
    <w:p>
      <w:r>
        <w:rPr>
          <w:color w:val="555555"/>
          <w:sz w:val="17"/>
        </w:rPr>
        <w:t xml:space="preserve">Zitiervorschlag: § 2 KredWGAUSFreistV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https://recht.nulegal.eu/gesetze/KredWGAUSFreistV/2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