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KredWGAUSFreistV</w:t>
      </w:r>
    </w:p>
    <w:p>
      <w:r>
        <w:rPr>
          <w:color w:val="555555"/>
          <w:sz w:val="18"/>
        </w:rPr>
        <w:t xml:space="preserve">Verordnung über die Freistellung der Zweigstellen von Kreditinstituten mit Sitz in Australien von Vorschriften des Gesetzes über das Kreditwesen</w:t>
      </w:r>
    </w:p>
    <w:p>
      <w:r>
        <w:rPr>
          <w:color w:val="555555"/>
          <w:sz w:val="18"/>
        </w:rPr>
        <w:t xml:space="preserve">Stand: 28.06.2021 (konsolidierte Textfassung, kein amtliches Inkrafttretensdatum)</w:t>
      </w:r>
    </w:p>
    <w:p>
      <w:r>
        <w:t xml:space="preserve">Für Zweigstellen von Kreditinstituten mit Sitz in Australien, die der Aufsicht der Australian Prudential Regulation Authority unterstehen, gilt § 1a Absatz 1 des Kreditwesengesetzes mit der Maßgabe, dass</w:t>
      </w:r>
    </w:p>
    <w:p>
      <w:pPr>
        <w:ind w:left="420"/>
      </w:pPr>
      <w:r>
        <w:t xml:space="preserve">1. die Vorgaben der Artikel 11 bis 386 und 429 bis 429g der Verordnung (EU) Nr. 575/2013 des Europäischen Parlaments und des Rates vom 26. Juni 2013 über Aufsichtsanforderungen an Kreditinstitute und Wertpapierfirmen und zur Änderung der Verordnung (EU) Nr. 648/2012 (ABl. L 176 vom 27.6.2013, S. 1; L 208 vom 2.8.2013, S. 68; L 321 vom 30.11.2013, S. 6; L 193 vom 21.7.2015, S. 166; L 20 vom 25.1.2017, S. 3; L 13 vom 17.1.2020, S. 58), die zuletzt durch die Verordnung (EU) 2020/873 (ABl. L 204 vom 26.6.2020, S. 4) geändert worden ist, und der auf ihrer Grundlage erlassenen Rechtsakte sowie die zugehörigen Vorgaben der Artikel 430 bis 455 der Verordnung (EU) Nr. 575/2013, die Bestimmungen des Kreditwesengesetzes, die auf Vorgaben der Artikel 11 bis 386 der Verordnung (EU) Nr. 575/2013 verweisen, sowie die in Ergänzung der Verordnung (EU) Nr. 575/2013 erlassene Rechtsverordnung nach § 10 Absatz 1 Satz 1 des Kreditwesengesetzes nicht anzuwenden sind und</w:t>
      </w:r>
    </w:p>
    <w:p>
      <w:pPr>
        <w:ind w:left="420"/>
      </w:pPr>
      <w:r>
        <w:t xml:space="preserve">2. die Vorgaben der Artikel 387 bis 403 der Verordnung (EU) Nr. 575/2013 und der auf ihrer Grundlage erlassenen Rechtsakte sowie die zugehörigen Vorgaben der Artikel 430 bis 455 der Verordnung (EU) Nr. 575/2013, die Bestimmungen des Kreditwesengesetzes, die auf Vorgaben der Artikel 387 bis 403 der Verordnung (EU) Nr. 575/2013 verweisen, sowie die in Ergänzung der Verordnung (EU) Nr. 575/2013 erlassene Rechtsverordnung nach § 13 Absatz 1 Satz 1 des Kreditwesengesetzes mit der Maßgabe anzuwenden ist, dass an die Stelle der Eigenmittel der Zweigstelle nach § 53 Absatz 2 Nummer 4 des Kreditwesengesetzes das konsolidierte Eigenkapital der Kreditinstitutsgruppe tritt.</w:t>
      </w:r>
    </w:p>
    <w:p>
      <w:r>
        <w:rPr>
          <w:color w:val="555555"/>
          <w:sz w:val="17"/>
        </w:rPr>
        <w:t xml:space="preserve">Zitiervorschlag: § 1 KredWGAUSFreistV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https://recht.nulegal.eu/gesetze/KredWGAUSFreistV/1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