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KredWG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rPr>
          <w:rFonts w:ascii="Courier New" w:hAnsi="Courier New"/>
          <w:sz w:val="17"/>
        </w:rPr>
        <w:t xml:space="preserve">Erster Abschnitt</w:t>
      </w:r>
    </w:p>
    <w:p>
      <w:r>
        <w:rPr>
          <w:rFonts w:ascii="Courier New" w:hAnsi="Courier New"/>
          <w:sz w:val="17"/>
        </w:rPr>
        <w:t xml:space="preserve">    Allgemeine Vorschriften</w:t>
      </w:r>
    </w:p>
    <w:p>
      <w:r>
        <w:rPr>
          <w:rFonts w:ascii="Courier New" w:hAnsi="Courier New"/>
          <w:sz w:val="17"/>
        </w:rPr>
        <w:t xml:space="preserve">    1.Kreditinstitute, Finanzdienstleistungsinstitute, Finanzholding-Gesellschaften, gemischte Finanzholding-Gesellschaften und gemischte Holdinggesellschaften sowie Finanzunternehmen</w:t>
      </w:r>
    </w:p>
    <w:p>
      <w:r>
        <w:rPr>
          <w:rFonts w:ascii="Courier New" w:hAnsi="Courier New"/>
          <w:sz w:val="17"/>
        </w:rPr>
        <w:t xml:space="preserve">§ 1    Begriffsbestimmungen; Verordnungsermächtigung</w:t>
      </w:r>
    </w:p>
    <w:p>
      <w:r>
        <w:rPr>
          <w:rFonts w:ascii="Courier New" w:hAnsi="Courier New"/>
          <w:sz w:val="17"/>
        </w:rPr>
        <w:t xml:space="preserve">§ 1a    Geltung der Richtlinie 2013/36/EU und der Verordnungen (EU) Nr. 575/2013, (EG) Nr. 1060/2009, (EU) 2015/534 und (EU) 2017/2402 für Kredit- und Finanzdienstleistungsinstitute</w:t>
      </w:r>
    </w:p>
    <w:p>
      <w:r>
        <w:rPr>
          <w:rFonts w:ascii="Courier New" w:hAnsi="Courier New"/>
          <w:sz w:val="17"/>
        </w:rPr>
        <w:t xml:space="preserve">§ 1b    Unzuverlässigkeit von sanktionierten Personen</w:t>
      </w:r>
    </w:p>
    <w:p>
      <w:r>
        <w:rPr>
          <w:rFonts w:ascii="Courier New" w:hAnsi="Courier New"/>
          <w:sz w:val="17"/>
        </w:rPr>
        <w:t xml:space="preserve">§ 2    Ausnahmen</w:t>
      </w:r>
    </w:p>
    <w:p>
      <w:r>
        <w:rPr>
          <w:rFonts w:ascii="Courier New" w:hAnsi="Courier New"/>
          <w:sz w:val="17"/>
        </w:rPr>
        <w:t xml:space="preserve">§ 2a    Ausnahmen für gruppenangehörige Institute und Institute, die institutsbezogenen Sicherungssystemen angehören</w:t>
      </w:r>
    </w:p>
    <w:p>
      <w:r>
        <w:rPr>
          <w:rFonts w:ascii="Courier New" w:hAnsi="Courier New"/>
          <w:sz w:val="17"/>
        </w:rPr>
        <w:t xml:space="preserve">§ 2b    Rechtsform</w:t>
      </w:r>
    </w:p>
    <w:p>
      <w:r>
        <w:rPr>
          <w:rFonts w:ascii="Courier New" w:hAnsi="Courier New"/>
          <w:sz w:val="17"/>
        </w:rPr>
        <w:t xml:space="preserve">§ 2c    Inhaber bedeutender Beteiligungen</w:t>
      </w:r>
    </w:p>
    <w:p>
      <w:r>
        <w:rPr>
          <w:rFonts w:ascii="Courier New" w:hAnsi="Courier New"/>
          <w:sz w:val="17"/>
        </w:rPr>
        <w:t xml:space="preserve">§ 2d    Leitungsorgane von Finanzholding-Gesellschaften und gemischten Finanzholding-Gesellschaften</w:t>
      </w:r>
    </w:p>
    <w:p>
      <w:r>
        <w:rPr>
          <w:rFonts w:ascii="Courier New" w:hAnsi="Courier New"/>
          <w:sz w:val="17"/>
        </w:rPr>
        <w:t xml:space="preserve">§ 2e    Ausnahmen für gemischte Finanzholding-Gesellschaften</w:t>
      </w:r>
    </w:p>
    <w:p>
      <w:r>
        <w:rPr>
          <w:rFonts w:ascii="Courier New" w:hAnsi="Courier New"/>
          <w:sz w:val="17"/>
        </w:rPr>
        <w:t xml:space="preserve">§ 2f    Zulassung von Finanzholding-Gesellschaften und gemischten Finanzholding-Gesellschaften; Verordnungsermächtigung</w:t>
      </w:r>
    </w:p>
    <w:p>
      <w:r>
        <w:rPr>
          <w:rFonts w:ascii="Courier New" w:hAnsi="Courier New"/>
          <w:sz w:val="17"/>
        </w:rPr>
        <w:t xml:space="preserve">§ 2g    Einrichtung eines zwischengeschalteten EU-Mutterunternehmens bei Mutterunternehmen mit Sitz in einem Drittstaat; Verordnungsermächtigung</w:t>
      </w:r>
    </w:p>
    <w:p>
      <w:r>
        <w:rPr>
          <w:rFonts w:ascii="Courier New" w:hAnsi="Courier New"/>
          <w:sz w:val="17"/>
        </w:rPr>
        <w:t xml:space="preserve">§ 2h    Erwerb einer wesentlichen Beteiligung</w:t>
      </w:r>
    </w:p>
    <w:p>
      <w:r>
        <w:rPr>
          <w:rFonts w:ascii="Courier New" w:hAnsi="Courier New"/>
          <w:sz w:val="17"/>
        </w:rPr>
        <w:t xml:space="preserve">§ 2i    Verschmelzungen und Spaltungen</w:t>
      </w:r>
    </w:p>
    <w:p>
      <w:r>
        <w:rPr>
          <w:rFonts w:ascii="Courier New" w:hAnsi="Courier New"/>
          <w:sz w:val="17"/>
        </w:rPr>
        <w:t xml:space="preserve">§ 3    Verbotene Geschäfte</w:t>
      </w:r>
    </w:p>
    <w:p>
      <w:r>
        <w:rPr>
          <w:rFonts w:ascii="Courier New" w:hAnsi="Courier New"/>
          <w:sz w:val="17"/>
        </w:rPr>
        <w:t xml:space="preserve">§ 4    Entscheidungen der Bundesanstalt für Finanzdienstleistungsaufsicht</w:t>
      </w:r>
    </w:p>
    <w:p>
      <w:r>
        <w:rPr>
          <w:rFonts w:ascii="Courier New" w:hAnsi="Courier New"/>
          <w:sz w:val="17"/>
        </w:rPr>
        <w:t xml:space="preserve">    2.Bundesanstalt für Finanzdienstleistungsaufsicht</w:t>
      </w:r>
    </w:p>
    <w:p>
      <w:r>
        <w:rPr>
          <w:rFonts w:ascii="Courier New" w:hAnsi="Courier New"/>
          <w:sz w:val="17"/>
        </w:rPr>
        <w:t xml:space="preserve">§ 5    Elektronische Übermittlung von Verwaltungsakten; Verordnungsermächtigung</w:t>
      </w:r>
    </w:p>
    <w:p>
      <w:r>
        <w:rPr>
          <w:rFonts w:ascii="Courier New" w:hAnsi="Courier New"/>
          <w:sz w:val="17"/>
        </w:rPr>
        <w:t xml:space="preserve">§ 6    Aufgaben</w:t>
      </w:r>
    </w:p>
    <w:p>
      <w:r>
        <w:rPr>
          <w:rFonts w:ascii="Courier New" w:hAnsi="Courier New"/>
          <w:sz w:val="17"/>
        </w:rPr>
        <w:t xml:space="preserve">§ 6a    Besondere Aufgaben</w:t>
      </w:r>
    </w:p>
    <w:p>
      <w:r>
        <w:rPr>
          <w:rFonts w:ascii="Courier New" w:hAnsi="Courier New"/>
          <w:sz w:val="17"/>
        </w:rPr>
        <w:t xml:space="preserve">§ 6b    Aufsichtliche Überprüfung und Beurteilung</w:t>
      </w:r>
    </w:p>
    <w:p>
      <w:r>
        <w:rPr>
          <w:rFonts w:ascii="Courier New" w:hAnsi="Courier New"/>
          <w:sz w:val="17"/>
        </w:rPr>
        <w:t xml:space="preserve">§ 6c    Zusätzliche Eigenmittelanforderungen</w:t>
      </w:r>
    </w:p>
    <w:p>
      <w:r>
        <w:rPr>
          <w:rFonts w:ascii="Courier New" w:hAnsi="Courier New"/>
          <w:sz w:val="17"/>
        </w:rPr>
        <w:t xml:space="preserve">§ 6d    Eigenmittelempfehlung</w:t>
      </w:r>
    </w:p>
    <w:p>
      <w:r>
        <w:rPr>
          <w:rFonts w:ascii="Courier New" w:hAnsi="Courier New"/>
          <w:sz w:val="17"/>
        </w:rPr>
        <w:t xml:space="preserve">§ 7    Zusammenarbeit mit der Deutschen Bundesbank</w:t>
      </w:r>
    </w:p>
    <w:p>
      <w:r>
        <w:rPr>
          <w:rFonts w:ascii="Courier New" w:hAnsi="Courier New"/>
          <w:sz w:val="17"/>
        </w:rPr>
        <w:t xml:space="preserve">§ 7a    Zusammenarbeit mit der Europäischen Kommission</w:t>
      </w:r>
    </w:p>
    <w:p>
      <w:r>
        <w:rPr>
          <w:rFonts w:ascii="Courier New" w:hAnsi="Courier New"/>
          <w:sz w:val="17"/>
        </w:rPr>
        <w:t xml:space="preserve">§ 7b    Zusammenarbeit mit der Europäischen Bankenaufsichtsbehörde, der Europäischen Wertpapier- und Marktaufsichtsbehörde und der Europäischen Aufsichtsbehörde für das Versicherungswesen und die betriebliche Altersversorgung</w:t>
      </w:r>
    </w:p>
    <w:p>
      <w:r>
        <w:rPr>
          <w:rFonts w:ascii="Courier New" w:hAnsi="Courier New"/>
          <w:sz w:val="17"/>
        </w:rPr>
        <w:t xml:space="preserve">§ 7c    (weggefallen)</w:t>
      </w:r>
    </w:p>
    <w:p>
      <w:r>
        <w:rPr>
          <w:rFonts w:ascii="Courier New" w:hAnsi="Courier New"/>
          <w:sz w:val="17"/>
        </w:rPr>
        <w:t xml:space="preserve">§ 7d    Zusammenarbeit mit dem Europäischen Ausschuss für Systemrisiken</w:t>
      </w:r>
    </w:p>
    <w:p>
      <w:r>
        <w:rPr>
          <w:rFonts w:ascii="Courier New" w:hAnsi="Courier New"/>
          <w:sz w:val="17"/>
        </w:rPr>
        <w:t xml:space="preserve">§ 8    Zusammenarbeit mit anderen Stellen</w:t>
      </w:r>
    </w:p>
    <w:p>
      <w:r>
        <w:rPr>
          <w:rFonts w:ascii="Courier New" w:hAnsi="Courier New"/>
          <w:sz w:val="17"/>
        </w:rPr>
        <w:t xml:space="preserve">§ 8a    Besondere Aufgaben bei der Aufsicht auf zusammengefasster Basis</w:t>
      </w:r>
    </w:p>
    <w:p>
      <w:r>
        <w:rPr>
          <w:rFonts w:ascii="Courier New" w:hAnsi="Courier New"/>
          <w:sz w:val="17"/>
        </w:rPr>
        <w:t xml:space="preserve">§ 8b    Zuständigkeit für die Aufsicht auf zusammengefasster Basis</w:t>
      </w:r>
    </w:p>
    <w:p>
      <w:r>
        <w:rPr>
          <w:rFonts w:ascii="Courier New" w:hAnsi="Courier New"/>
          <w:sz w:val="17"/>
        </w:rPr>
        <w:t xml:space="preserve">§ 8c    Übertragung der Zuständigkeit für die Aufsicht über Institutsgruppen, Finanzholding-Gruppen, gemischte Finanzholding-Gruppen und gruppenangehörige Institute</w:t>
      </w:r>
    </w:p>
    <w:p>
      <w:r>
        <w:rPr>
          <w:rFonts w:ascii="Courier New" w:hAnsi="Courier New"/>
          <w:sz w:val="17"/>
        </w:rPr>
        <w:t xml:space="preserve">§ 8d    (weggefallen)</w:t>
      </w:r>
    </w:p>
    <w:p>
      <w:r>
        <w:rPr>
          <w:rFonts w:ascii="Courier New" w:hAnsi="Courier New"/>
          <w:sz w:val="17"/>
        </w:rPr>
        <w:t xml:space="preserve">§ 8e    Aufsichtskollegien</w:t>
      </w:r>
    </w:p>
    <w:p>
      <w:r>
        <w:rPr>
          <w:rFonts w:ascii="Courier New" w:hAnsi="Courier New"/>
          <w:sz w:val="17"/>
        </w:rPr>
        <w:t xml:space="preserve">§ 8f    Zusammenarbeit bei der Aufsicht über bedeutende Zweigniederlassungen</w:t>
      </w:r>
    </w:p>
    <w:p>
      <w:r>
        <w:rPr>
          <w:rFonts w:ascii="Courier New" w:hAnsi="Courier New"/>
          <w:sz w:val="17"/>
        </w:rPr>
        <w:t xml:space="preserve">§ 8g    Zusammenarbeit bei der Aufsicht über Zweigstellen und Kreditinstitute, die derselben Drittstaatengruppe angehören</w:t>
      </w:r>
    </w:p>
    <w:p>
      <w:r>
        <w:rPr>
          <w:rFonts w:ascii="Courier New" w:hAnsi="Courier New"/>
          <w:sz w:val="17"/>
        </w:rPr>
        <w:t xml:space="preserve">§ 8h    Zusammenarbeit mit Abwicklungsbehörden</w:t>
      </w:r>
    </w:p>
    <w:p>
      <w:r>
        <w:rPr>
          <w:rFonts w:ascii="Courier New" w:hAnsi="Courier New"/>
          <w:sz w:val="17"/>
        </w:rPr>
        <w:t xml:space="preserve">§ 9    Verschwiegenheitspflicht</w:t>
      </w:r>
    </w:p>
    <w:p>
      <w:r>
        <w:rPr>
          <w:rFonts w:ascii="Courier New" w:hAnsi="Courier New"/>
          <w:sz w:val="17"/>
        </w:rPr>
        <w:t xml:space="preserve">Zweiter Abschnitt</w:t>
      </w:r>
    </w:p>
    <w:p>
      <w:r>
        <w:rPr>
          <w:rFonts w:ascii="Courier New" w:hAnsi="Courier New"/>
          <w:sz w:val="17"/>
        </w:rPr>
        <w:t xml:space="preserve">    Vorschriften für Institute, Institutsgruppen, Finanzholding-Gruppen, gemischte Finanzholding-Gruppen und gemischte Holdinggesellschaften</w:t>
      </w:r>
    </w:p>
    <w:p>
      <w:r>
        <w:rPr>
          <w:rFonts w:ascii="Courier New" w:hAnsi="Courier New"/>
          <w:sz w:val="17"/>
        </w:rPr>
        <w:t xml:space="preserve">    1.Eigenmittel und Liquidität</w:t>
      </w:r>
    </w:p>
    <w:p>
      <w:r>
        <w:rPr>
          <w:rFonts w:ascii="Courier New" w:hAnsi="Courier New"/>
          <w:sz w:val="17"/>
        </w:rPr>
        <w:t xml:space="preserve">§ 10    Ergänzende Anforderungen an die Eigenmittelausstattung von Instituten, Institutsgruppen, Finanzholding-Gruppen und gemischten Finanzholding-Gruppen; Verordnungsermächtigung</w:t>
      </w:r>
    </w:p>
    <w:p>
      <w:r>
        <w:rPr>
          <w:rFonts w:ascii="Courier New" w:hAnsi="Courier New"/>
          <w:sz w:val="17"/>
        </w:rPr>
        <w:t xml:space="preserve">§ 10a    Ermittlung der Eigenmittelausstattung von Institutsgruppen, Finanzholding-Gruppen und gemischten Finanzholding-Gruppen; Verordnungsermächtigung</w:t>
      </w:r>
    </w:p>
    <w:p>
      <w:r>
        <w:rPr>
          <w:rFonts w:ascii="Courier New" w:hAnsi="Courier New"/>
          <w:sz w:val="17"/>
        </w:rPr>
        <w:t xml:space="preserve">§ 10b    Verhältnis der Kapitalpufferanforderungen zu anderen Kapitalanforderungen und zur Eigenmittelempfehlung</w:t>
      </w:r>
    </w:p>
    <w:p>
      <w:r>
        <w:rPr>
          <w:rFonts w:ascii="Courier New" w:hAnsi="Courier New"/>
          <w:sz w:val="17"/>
        </w:rPr>
        <w:t xml:space="preserve">§ 10c    Kapitalerhaltungspuffer</w:t>
      </w:r>
    </w:p>
    <w:p>
      <w:r>
        <w:rPr>
          <w:rFonts w:ascii="Courier New" w:hAnsi="Courier New"/>
          <w:sz w:val="17"/>
        </w:rPr>
        <w:t xml:space="preserve">§ 10d    Antizyklischer Kapitalpuffer</w:t>
      </w:r>
    </w:p>
    <w:p>
      <w:r>
        <w:rPr>
          <w:rFonts w:ascii="Courier New" w:hAnsi="Courier New"/>
          <w:sz w:val="17"/>
        </w:rPr>
        <w:t xml:space="preserve">§ 10e    Kapitalpuffer für systemische Risiken</w:t>
      </w:r>
    </w:p>
    <w:p>
      <w:r>
        <w:rPr>
          <w:rFonts w:ascii="Courier New" w:hAnsi="Courier New"/>
          <w:sz w:val="17"/>
        </w:rPr>
        <w:t xml:space="preserve">§ 10f    Kapitalpuffer für global systemrelevante Institute</w:t>
      </w:r>
    </w:p>
    <w:p>
      <w:r>
        <w:rPr>
          <w:rFonts w:ascii="Courier New" w:hAnsi="Courier New"/>
          <w:sz w:val="17"/>
        </w:rPr>
        <w:t xml:space="preserve">§ 10g    Kapitalpuffer für anderweitig systemrelevante Institute</w:t>
      </w:r>
    </w:p>
    <w:p>
      <w:r>
        <w:rPr>
          <w:rFonts w:ascii="Courier New" w:hAnsi="Courier New"/>
          <w:sz w:val="17"/>
        </w:rPr>
        <w:t xml:space="preserve">§ 10h    Zusammenwirken der Kapitalpuffer für systemische Risiken, für global systemrelevante Institute und für anderweitig systemrelevante Institute</w:t>
      </w:r>
    </w:p>
    <w:p>
      <w:r>
        <w:rPr>
          <w:rFonts w:ascii="Courier New" w:hAnsi="Courier New"/>
          <w:sz w:val="17"/>
        </w:rPr>
        <w:t xml:space="preserve">§ 10i    Kombinierte Kapitalpufferanforderung</w:t>
      </w:r>
    </w:p>
    <w:p>
      <w:r>
        <w:rPr>
          <w:rFonts w:ascii="Courier New" w:hAnsi="Courier New"/>
          <w:sz w:val="17"/>
        </w:rPr>
        <w:t xml:space="preserve">§ 10j    Anforderung an den Puffer der Verschuldungsquote</w:t>
      </w:r>
    </w:p>
    <w:p>
      <w:r>
        <w:rPr>
          <w:rFonts w:ascii="Courier New" w:hAnsi="Courier New"/>
          <w:sz w:val="17"/>
        </w:rPr>
        <w:t xml:space="preserve">§ 11    Liquidität; Verordnungsermächtigung</w:t>
      </w:r>
    </w:p>
    <w:p>
      <w:r>
        <w:rPr>
          <w:rFonts w:ascii="Courier New" w:hAnsi="Courier New"/>
          <w:sz w:val="17"/>
        </w:rPr>
        <w:t xml:space="preserve">§ 12    Potentiell systemrelevante Institute</w:t>
      </w:r>
    </w:p>
    <w:p>
      <w:r>
        <w:rPr>
          <w:rFonts w:ascii="Courier New" w:hAnsi="Courier New"/>
          <w:sz w:val="17"/>
        </w:rPr>
        <w:t xml:space="preserve">§ 12a    Begründung von Unternehmensbeziehungen</w:t>
      </w:r>
    </w:p>
    <w:p>
      <w:r>
        <w:rPr>
          <w:rFonts w:ascii="Courier New" w:hAnsi="Courier New"/>
          <w:sz w:val="17"/>
        </w:rPr>
        <w:t xml:space="preserve">    2.Kreditgeschäft</w:t>
      </w:r>
    </w:p>
    <w:p>
      <w:r>
        <w:rPr>
          <w:rFonts w:ascii="Courier New" w:hAnsi="Courier New"/>
          <w:sz w:val="17"/>
        </w:rPr>
        <w:t xml:space="preserve">§ 13    Großkredite; Verordnungsermächtigung</w:t>
      </w:r>
    </w:p>
    <w:p>
      <w:r>
        <w:rPr>
          <w:rFonts w:ascii="Courier New" w:hAnsi="Courier New"/>
          <w:sz w:val="17"/>
        </w:rPr>
        <w:t xml:space="preserve">§§ 13a und 13b    (weggefallen)</w:t>
      </w:r>
    </w:p>
    <w:p>
      <w:r>
        <w:rPr>
          <w:rFonts w:ascii="Courier New" w:hAnsi="Courier New"/>
          <w:sz w:val="17"/>
        </w:rPr>
        <w:t xml:space="preserve">§ 13c    Gruppeninterne Transaktionen mit gemischten Holdinggesellschaften</w:t>
      </w:r>
    </w:p>
    <w:p>
      <w:r>
        <w:rPr>
          <w:rFonts w:ascii="Courier New" w:hAnsi="Courier New"/>
          <w:sz w:val="17"/>
        </w:rPr>
        <w:t xml:space="preserve">§ 13d    (weggefallen)</w:t>
      </w:r>
    </w:p>
    <w:p>
      <w:r>
        <w:rPr>
          <w:rFonts w:ascii="Courier New" w:hAnsi="Courier New"/>
          <w:sz w:val="17"/>
        </w:rPr>
        <w:t xml:space="preserve">§ 14    Millionenkredite</w:t>
      </w:r>
    </w:p>
    <w:p>
      <w:r>
        <w:rPr>
          <w:rFonts w:ascii="Courier New" w:hAnsi="Courier New"/>
          <w:sz w:val="17"/>
        </w:rPr>
        <w:t xml:space="preserve">§ 15    Organtransaktionen</w:t>
      </w:r>
    </w:p>
    <w:p>
      <w:r>
        <w:rPr>
          <w:rFonts w:ascii="Courier New" w:hAnsi="Courier New"/>
          <w:sz w:val="17"/>
        </w:rPr>
        <w:t xml:space="preserve">§ 16    (aufgehoben)</w:t>
      </w:r>
    </w:p>
    <w:p>
      <w:r>
        <w:rPr>
          <w:rFonts w:ascii="Courier New" w:hAnsi="Courier New"/>
          <w:sz w:val="17"/>
        </w:rPr>
        <w:t xml:space="preserve">§ 17    Haftungsbestimmung</w:t>
      </w:r>
    </w:p>
    <w:p>
      <w:r>
        <w:rPr>
          <w:rFonts w:ascii="Courier New" w:hAnsi="Courier New"/>
          <w:sz w:val="17"/>
        </w:rPr>
        <w:t xml:space="preserve">§ 18    Kreditunterlagen</w:t>
      </w:r>
    </w:p>
    <w:p>
      <w:r>
        <w:rPr>
          <w:rFonts w:ascii="Courier New" w:hAnsi="Courier New"/>
          <w:sz w:val="17"/>
        </w:rPr>
        <w:t xml:space="preserve">§ 18a    Verbraucherdarlehen und entgeltliche Finanzierungshilfen; Verordnungsermächtigung</w:t>
      </w:r>
    </w:p>
    <w:p>
      <w:r>
        <w:rPr>
          <w:rFonts w:ascii="Courier New" w:hAnsi="Courier New"/>
          <w:sz w:val="17"/>
        </w:rPr>
        <w:t xml:space="preserve">§ 19    Begriff des Kredits für § 14 und des Kreditnehmers für die §§ 14, 15 und 18</w:t>
      </w:r>
    </w:p>
    <w:p>
      <w:r>
        <w:rPr>
          <w:rFonts w:ascii="Courier New" w:hAnsi="Courier New"/>
          <w:sz w:val="17"/>
        </w:rPr>
        <w:t xml:space="preserve">§ 20    Ausnahmen von den Verpflichtungen nach § 14</w:t>
      </w:r>
    </w:p>
    <w:p>
      <w:r>
        <w:rPr>
          <w:rFonts w:ascii="Courier New" w:hAnsi="Courier New"/>
          <w:sz w:val="17"/>
        </w:rPr>
        <w:t xml:space="preserve">§§ 20a bis 20c    (weggefallen)</w:t>
      </w:r>
    </w:p>
    <w:p>
      <w:r>
        <w:rPr>
          <w:rFonts w:ascii="Courier New" w:hAnsi="Courier New"/>
          <w:sz w:val="17"/>
        </w:rPr>
        <w:t xml:space="preserve">§ 21    Begriff des Kredits für die §§ 15 bis 18</w:t>
      </w:r>
    </w:p>
    <w:p>
      <w:r>
        <w:rPr>
          <w:rFonts w:ascii="Courier New" w:hAnsi="Courier New"/>
          <w:sz w:val="17"/>
        </w:rPr>
        <w:t xml:space="preserve">§ 22    Verordnungsermächtigung für Millionenkredite</w:t>
      </w:r>
    </w:p>
    <w:p>
      <w:r>
        <w:rPr>
          <w:rFonts w:ascii="Courier New" w:hAnsi="Courier New"/>
          <w:sz w:val="17"/>
        </w:rPr>
        <w:t xml:space="preserve">    2a.Refinanzierungsregister</w:t>
      </w:r>
    </w:p>
    <w:p>
      <w:r>
        <w:rPr>
          <w:rFonts w:ascii="Courier New" w:hAnsi="Courier New"/>
          <w:sz w:val="17"/>
        </w:rPr>
        <w:t xml:space="preserve">§ 22a    Registerführendes Unternehmen</w:t>
      </w:r>
    </w:p>
    <w:p>
      <w:r>
        <w:rPr>
          <w:rFonts w:ascii="Courier New" w:hAnsi="Courier New"/>
          <w:sz w:val="17"/>
        </w:rPr>
        <w:t xml:space="preserve">§ 22b    Führung des Refinanzierungsregisters für Dritte</w:t>
      </w:r>
    </w:p>
    <w:p>
      <w:r>
        <w:rPr>
          <w:rFonts w:ascii="Courier New" w:hAnsi="Courier New"/>
          <w:sz w:val="17"/>
        </w:rPr>
        <w:t xml:space="preserve">§ 22c    Refinanzierungsmittler</w:t>
      </w:r>
    </w:p>
    <w:p>
      <w:r>
        <w:rPr>
          <w:rFonts w:ascii="Courier New" w:hAnsi="Courier New"/>
          <w:sz w:val="17"/>
        </w:rPr>
        <w:t xml:space="preserve">§ 22d    Refinanzierungsregister; Verordnungsermächtigung</w:t>
      </w:r>
    </w:p>
    <w:p>
      <w:r>
        <w:rPr>
          <w:rFonts w:ascii="Courier New" w:hAnsi="Courier New"/>
          <w:sz w:val="17"/>
        </w:rPr>
        <w:t xml:space="preserve">§ 22e    Bestellung des Verwalters</w:t>
      </w:r>
    </w:p>
    <w:p>
      <w:r>
        <w:rPr>
          <w:rFonts w:ascii="Courier New" w:hAnsi="Courier New"/>
          <w:sz w:val="17"/>
        </w:rPr>
        <w:t xml:space="preserve">§ 22f    Verhältnis des Verwalters zur Bundesanstalt</w:t>
      </w:r>
    </w:p>
    <w:p>
      <w:r>
        <w:rPr>
          <w:rFonts w:ascii="Courier New" w:hAnsi="Courier New"/>
          <w:sz w:val="17"/>
        </w:rPr>
        <w:t xml:space="preserve">§ 22g    Aufgaben des Verwalters</w:t>
      </w:r>
    </w:p>
    <w:p>
      <w:r>
        <w:rPr>
          <w:rFonts w:ascii="Courier New" w:hAnsi="Courier New"/>
          <w:sz w:val="17"/>
        </w:rPr>
        <w:t xml:space="preserve">§ 22h    Verhältnis des Verwalters zum registerführenden Unternehmen und zum Refinanzierungsunternehmen</w:t>
      </w:r>
    </w:p>
    <w:p>
      <w:r>
        <w:rPr>
          <w:rFonts w:ascii="Courier New" w:hAnsi="Courier New"/>
          <w:sz w:val="17"/>
        </w:rPr>
        <w:t xml:space="preserve">§ 22i    Vergütung des Verwalters</w:t>
      </w:r>
    </w:p>
    <w:p>
      <w:r>
        <w:rPr>
          <w:rFonts w:ascii="Courier New" w:hAnsi="Courier New"/>
          <w:sz w:val="17"/>
        </w:rPr>
        <w:t xml:space="preserve">§ 22j    Wirkungen der Eintragung in das Refinanzierungsregister</w:t>
      </w:r>
    </w:p>
    <w:p>
      <w:r>
        <w:rPr>
          <w:rFonts w:ascii="Courier New" w:hAnsi="Courier New"/>
          <w:sz w:val="17"/>
        </w:rPr>
        <w:t xml:space="preserve">§ 22k    Beendigung und Übertragung der Registerführung</w:t>
      </w:r>
    </w:p>
    <w:p>
      <w:r>
        <w:rPr>
          <w:rFonts w:ascii="Courier New" w:hAnsi="Courier New"/>
          <w:sz w:val="17"/>
        </w:rPr>
        <w:t xml:space="preserve">§ 22l    Bestellung des Sachwalters bei Eröffnung des Insolvenzverfahrens</w:t>
      </w:r>
    </w:p>
    <w:p>
      <w:r>
        <w:rPr>
          <w:rFonts w:ascii="Courier New" w:hAnsi="Courier New"/>
          <w:sz w:val="17"/>
        </w:rPr>
        <w:t xml:space="preserve">§ 22m    Bekanntmachung der Bestellung des Sachwalters</w:t>
      </w:r>
    </w:p>
    <w:p>
      <w:r>
        <w:rPr>
          <w:rFonts w:ascii="Courier New" w:hAnsi="Courier New"/>
          <w:sz w:val="17"/>
        </w:rPr>
        <w:t xml:space="preserve">§ 22n    Aufgaben und Rechtsstellung des Sachwalters</w:t>
      </w:r>
    </w:p>
    <w:p>
      <w:r>
        <w:rPr>
          <w:rFonts w:ascii="Courier New" w:hAnsi="Courier New"/>
          <w:sz w:val="17"/>
        </w:rPr>
        <w:t xml:space="preserve">§ 22o    Bestellung des Sachwalters bei Insolvenzgefahr</w:t>
      </w:r>
    </w:p>
    <w:p>
      <w:r>
        <w:rPr>
          <w:rFonts w:ascii="Courier New" w:hAnsi="Courier New"/>
          <w:sz w:val="17"/>
        </w:rPr>
        <w:t xml:space="preserve">    3.Kundenrechte</w:t>
      </w:r>
    </w:p>
    <w:p>
      <w:r>
        <w:rPr>
          <w:rFonts w:ascii="Courier New" w:hAnsi="Courier New"/>
          <w:sz w:val="17"/>
        </w:rPr>
        <w:t xml:space="preserve">§ 22p    (weggefallen)</w:t>
      </w:r>
    </w:p>
    <w:p>
      <w:r>
        <w:rPr>
          <w:rFonts w:ascii="Courier New" w:hAnsi="Courier New"/>
          <w:sz w:val="17"/>
        </w:rPr>
        <w:t xml:space="preserve">    4.Werbung und Hinweispflichten der Institute</w:t>
      </w:r>
    </w:p>
    <w:p>
      <w:r>
        <w:rPr>
          <w:rFonts w:ascii="Courier New" w:hAnsi="Courier New"/>
          <w:sz w:val="17"/>
        </w:rPr>
        <w:t xml:space="preserve">§ 23    Werbung</w:t>
      </w:r>
    </w:p>
    <w:p>
      <w:r>
        <w:rPr>
          <w:rFonts w:ascii="Courier New" w:hAnsi="Courier New"/>
          <w:sz w:val="17"/>
        </w:rPr>
        <w:t xml:space="preserve">§ 23a    Sicherungseinrichtung</w:t>
      </w:r>
    </w:p>
    <w:p>
      <w:r>
        <w:rPr>
          <w:rFonts w:ascii="Courier New" w:hAnsi="Courier New"/>
          <w:sz w:val="17"/>
        </w:rPr>
        <w:t xml:space="preserve">    5.Besondere Pflichten</w:t>
      </w:r>
    </w:p>
    <w:p>
      <w:r>
        <w:rPr>
          <w:rFonts w:ascii="Courier New" w:hAnsi="Courier New"/>
          <w:sz w:val="17"/>
        </w:rPr>
        <w:t xml:space="preserve">§ 24    Anzeigen; Verordnungsermächtigung</w:t>
      </w:r>
    </w:p>
    <w:p>
      <w:r>
        <w:rPr>
          <w:rFonts w:ascii="Courier New" w:hAnsi="Courier New"/>
          <w:sz w:val="17"/>
        </w:rPr>
        <w:t xml:space="preserve">§ 24a    Errichtung einer Zweigniederlassung und Erbringung grenzüberschreitender Dienstleistungen in anderen Staaten des Europäischen Wirtschaftsraums</w:t>
      </w:r>
    </w:p>
    <w:p>
      <w:r>
        <w:rPr>
          <w:rFonts w:ascii="Courier New" w:hAnsi="Courier New"/>
          <w:sz w:val="17"/>
        </w:rPr>
        <w:t xml:space="preserve">§ 24b    Teilnahme an Zahlungs- sowie Wertpapierliefer- und -abrechnungssystemen sowie interoperablen Systemen</w:t>
      </w:r>
    </w:p>
    <w:p>
      <w:r>
        <w:rPr>
          <w:rFonts w:ascii="Courier New" w:hAnsi="Courier New"/>
          <w:sz w:val="17"/>
        </w:rPr>
        <w:t xml:space="preserve">§ 24c    Automatisierter Abruf von Kontoinformationen</w:t>
      </w:r>
    </w:p>
    <w:p>
      <w:r>
        <w:rPr>
          <w:rFonts w:ascii="Courier New" w:hAnsi="Courier New"/>
          <w:sz w:val="17"/>
        </w:rPr>
        <w:t xml:space="preserve">§ 25    Finanzinformationen, Informationen zur Risikotragfähigkeit und zur Liquiditätssteuerung, Refinanzierungspläne; Verordnungsermächtigung</w:t>
      </w:r>
    </w:p>
    <w:p>
      <w:r>
        <w:rPr>
          <w:rFonts w:ascii="Courier New" w:hAnsi="Courier New"/>
          <w:sz w:val="17"/>
        </w:rPr>
        <w:t xml:space="preserve">§ 25a    Besondere organisatorische Pflichten, Bestimmungen für Risikoträger; Verordnungsermächtigung</w:t>
      </w:r>
    </w:p>
    <w:p>
      <w:r>
        <w:rPr>
          <w:rFonts w:ascii="Courier New" w:hAnsi="Courier New"/>
          <w:sz w:val="17"/>
        </w:rPr>
        <w:t xml:space="preserve">§ 25b    Auslagerung von Aktivitäten und Prozessen; Verordnungsermächtigung</w:t>
      </w:r>
    </w:p>
    <w:p>
      <w:r>
        <w:rPr>
          <w:rFonts w:ascii="Courier New" w:hAnsi="Courier New"/>
          <w:sz w:val="17"/>
        </w:rPr>
        <w:t xml:space="preserve">§ 25c    Geschäftsleiter</w:t>
      </w:r>
    </w:p>
    <w:p>
      <w:r>
        <w:rPr>
          <w:rFonts w:ascii="Courier New" w:hAnsi="Courier New"/>
          <w:sz w:val="17"/>
        </w:rPr>
        <w:t xml:space="preserve">§ 25d    Verwaltungs- oder Aufsichtsorgan</w:t>
      </w:r>
    </w:p>
    <w:p>
      <w:r>
        <w:rPr>
          <w:rFonts w:ascii="Courier New" w:hAnsi="Courier New"/>
          <w:sz w:val="17"/>
        </w:rPr>
        <w:t xml:space="preserve">§ 25e    Anforderungen bei Inhabern von Schlüsselfunktionen und vertraglich gebundenen Vermittlern</w:t>
      </w:r>
    </w:p>
    <w:p>
      <w:r>
        <w:rPr>
          <w:rFonts w:ascii="Courier New" w:hAnsi="Courier New"/>
          <w:sz w:val="17"/>
        </w:rPr>
        <w:t xml:space="preserve">§ 25f    Besondere Anforderungen an die ordnungsgemäße Geschäftsorganisation von CRR-Kreditinstituten sowie von Institutsgruppen, Finanzholding-Gruppen und gemischten Finanzholding-Gruppen, denen ein CRR-Kreditinstitut angehört; Verordnungsermächtigung</w:t>
      </w:r>
    </w:p>
    <w:p>
      <w:r>
        <w:rPr>
          <w:rFonts w:ascii="Courier New" w:hAnsi="Courier New"/>
          <w:sz w:val="17"/>
        </w:rPr>
        <w:t xml:space="preserve">    5a.Bargeldloser Zahlungsverkehr; Verhinderung von Geldwäsche, Terrorismusfinanzierung und sonstigen strafbaren Handlungen zu Lasten der Institute</w:t>
      </w:r>
    </w:p>
    <w:p>
      <w:r>
        <w:rPr>
          <w:rFonts w:ascii="Courier New" w:hAnsi="Courier New"/>
          <w:sz w:val="17"/>
        </w:rPr>
        <w:t xml:space="preserve">§ 25g    Einhaltung der besonderen organisatorischen Pflichten im bargeldlosen Zahlungsverkehr</w:t>
      </w:r>
    </w:p>
    <w:p>
      <w:r>
        <w:rPr>
          <w:rFonts w:ascii="Courier New" w:hAnsi="Courier New"/>
          <w:sz w:val="17"/>
        </w:rPr>
        <w:t xml:space="preserve">§ 25h    Interne Sicherungsmaßnahmen</w:t>
      </w:r>
    </w:p>
    <w:p>
      <w:r>
        <w:rPr>
          <w:rFonts w:ascii="Courier New" w:hAnsi="Courier New"/>
          <w:sz w:val="17"/>
        </w:rPr>
        <w:t xml:space="preserve">§ 25i    Allgemeine Sorgfaltspflichten in Bezug auf E-Geld</w:t>
      </w:r>
    </w:p>
    <w:p>
      <w:r>
        <w:rPr>
          <w:rFonts w:ascii="Courier New" w:hAnsi="Courier New"/>
          <w:sz w:val="17"/>
        </w:rPr>
        <w:t xml:space="preserve">§ 25j    Zeitpunkt der Identitätsprüfung</w:t>
      </w:r>
    </w:p>
    <w:p>
      <w:r>
        <w:rPr>
          <w:rFonts w:ascii="Courier New" w:hAnsi="Courier New"/>
          <w:sz w:val="17"/>
        </w:rPr>
        <w:t xml:space="preserve">§ 25k    Verstärkte Sorgfaltspflichten</w:t>
      </w:r>
    </w:p>
    <w:p>
      <w:r>
        <w:rPr>
          <w:rFonts w:ascii="Courier New" w:hAnsi="Courier New"/>
          <w:sz w:val="17"/>
        </w:rPr>
        <w:t xml:space="preserve">§ 25l    Geldwäscherechtliche Pflichten für Finanzholding-Gesellschaften</w:t>
      </w:r>
    </w:p>
    <w:p>
      <w:r>
        <w:rPr>
          <w:rFonts w:ascii="Courier New" w:hAnsi="Courier New"/>
          <w:sz w:val="17"/>
        </w:rPr>
        <w:t xml:space="preserve">§ 25m    Verbotene Geschäfte</w:t>
      </w:r>
    </w:p>
    <w:p>
      <w:r>
        <w:rPr>
          <w:rFonts w:ascii="Courier New" w:hAnsi="Courier New"/>
          <w:sz w:val="17"/>
        </w:rPr>
        <w:t xml:space="preserve">§ 25n    (weggefallen)</w:t>
      </w:r>
    </w:p>
    <w:p>
      <w:r>
        <w:rPr>
          <w:rFonts w:ascii="Courier New" w:hAnsi="Courier New"/>
          <w:sz w:val="17"/>
        </w:rPr>
        <w:t xml:space="preserve">    5b.Vorlage von Rechnungslegungsunterlagen</w:t>
      </w:r>
    </w:p>
    <w:p>
      <w:r>
        <w:rPr>
          <w:rFonts w:ascii="Courier New" w:hAnsi="Courier New"/>
          <w:sz w:val="17"/>
        </w:rPr>
        <w:t xml:space="preserve">§ 26    Vorlage von Jahresabschluss, Lagebericht und Prüfungsberichten</w:t>
      </w:r>
    </w:p>
    <w:p>
      <w:r>
        <w:rPr>
          <w:rFonts w:ascii="Courier New" w:hAnsi="Courier New"/>
          <w:sz w:val="17"/>
        </w:rPr>
        <w:t xml:space="preserve">    5c.Offenlegung</w:t>
      </w:r>
    </w:p>
    <w:p>
      <w:r>
        <w:rPr>
          <w:rFonts w:ascii="Courier New" w:hAnsi="Courier New"/>
          <w:sz w:val="17"/>
        </w:rPr>
        <w:t xml:space="preserve">§ 26a    Offenlegung durch die Institute</w:t>
      </w:r>
    </w:p>
    <w:p>
      <w:r>
        <w:rPr>
          <w:rFonts w:ascii="Courier New" w:hAnsi="Courier New"/>
          <w:sz w:val="17"/>
        </w:rPr>
        <w:t xml:space="preserve">    5d.Besondere Pflichten bei qualifizierter Kryptoverwahrung</w:t>
      </w:r>
    </w:p>
    <w:p>
      <w:r>
        <w:rPr>
          <w:rFonts w:ascii="Courier New" w:hAnsi="Courier New"/>
          <w:sz w:val="17"/>
        </w:rPr>
        <w:t xml:space="preserve">§ 26b    Vermögenstrennung</w:t>
      </w:r>
    </w:p>
    <w:p>
      <w:r>
        <w:rPr>
          <w:rFonts w:ascii="Courier New" w:hAnsi="Courier New"/>
          <w:sz w:val="17"/>
        </w:rPr>
        <w:t xml:space="preserve">    5e.Besondere Pflichten in Bezug auf Umwelt-, Sozial- und Unternehmensführungsrisiken</w:t>
      </w:r>
    </w:p>
    <w:p>
      <w:r>
        <w:rPr>
          <w:rFonts w:ascii="Courier New" w:hAnsi="Courier New"/>
          <w:sz w:val="17"/>
        </w:rPr>
        <w:t xml:space="preserve">§ 26c    ESG-Risiken im Risikomanagement</w:t>
      </w:r>
    </w:p>
    <w:p>
      <w:r>
        <w:rPr>
          <w:rFonts w:ascii="Courier New" w:hAnsi="Courier New"/>
          <w:sz w:val="17"/>
        </w:rPr>
        <w:t xml:space="preserve">§ 26d    ESG-Risikoplan</w:t>
      </w:r>
    </w:p>
    <w:p>
      <w:r>
        <w:rPr>
          <w:rFonts w:ascii="Courier New" w:hAnsi="Courier New"/>
          <w:sz w:val="17"/>
        </w:rPr>
        <w:t xml:space="preserve">    6.Prüfung und Prüferbestellung</w:t>
      </w:r>
    </w:p>
    <w:p>
      <w:r>
        <w:rPr>
          <w:rFonts w:ascii="Courier New" w:hAnsi="Courier New"/>
          <w:sz w:val="17"/>
        </w:rPr>
        <w:t xml:space="preserve">§ 27    (aufgehoben)</w:t>
      </w:r>
    </w:p>
    <w:p>
      <w:r>
        <w:rPr>
          <w:rFonts w:ascii="Courier New" w:hAnsi="Courier New"/>
          <w:sz w:val="17"/>
        </w:rPr>
        <w:t xml:space="preserve">§ 28    Bestellung des Prüfers in besonderen Fällen</w:t>
      </w:r>
    </w:p>
    <w:p>
      <w:r>
        <w:rPr>
          <w:rFonts w:ascii="Courier New" w:hAnsi="Courier New"/>
          <w:sz w:val="17"/>
        </w:rPr>
        <w:t xml:space="preserve">§ 29    Besondere Pflichten des Prüfers</w:t>
      </w:r>
    </w:p>
    <w:p>
      <w:r>
        <w:rPr>
          <w:rFonts w:ascii="Courier New" w:hAnsi="Courier New"/>
          <w:sz w:val="17"/>
        </w:rPr>
        <w:t xml:space="preserve">§ 30    Bestimmung von Prüfungsinhalten</w:t>
      </w:r>
    </w:p>
    <w:p>
      <w:r>
        <w:rPr>
          <w:rFonts w:ascii="Courier New" w:hAnsi="Courier New"/>
          <w:sz w:val="17"/>
        </w:rPr>
        <w:t xml:space="preserve">    7.Befreiungen</w:t>
      </w:r>
    </w:p>
    <w:p>
      <w:r>
        <w:rPr>
          <w:rFonts w:ascii="Courier New" w:hAnsi="Courier New"/>
          <w:sz w:val="17"/>
        </w:rPr>
        <w:t xml:space="preserve">§ 31    Befreiungen; Verordnungsermächtigung</w:t>
      </w:r>
    </w:p>
    <w:p>
      <w:r>
        <w:rPr>
          <w:rFonts w:ascii="Courier New" w:hAnsi="Courier New"/>
          <w:sz w:val="17"/>
        </w:rPr>
        <w:t xml:space="preserve">Dritter Abschnitt</w:t>
      </w:r>
    </w:p>
    <w:p>
      <w:r>
        <w:rPr>
          <w:rFonts w:ascii="Courier New" w:hAnsi="Courier New"/>
          <w:sz w:val="17"/>
        </w:rPr>
        <w:t xml:space="preserve">    Vorschriften über die Beaufsichtigung der Institute</w:t>
      </w:r>
    </w:p>
    <w:p>
      <w:r>
        <w:rPr>
          <w:rFonts w:ascii="Courier New" w:hAnsi="Courier New"/>
          <w:sz w:val="17"/>
        </w:rPr>
        <w:t xml:space="preserve">    1.Zulassung zum Geschäftsbetrieb</w:t>
      </w:r>
    </w:p>
    <w:p>
      <w:r>
        <w:rPr>
          <w:rFonts w:ascii="Courier New" w:hAnsi="Courier New"/>
          <w:sz w:val="17"/>
        </w:rPr>
        <w:t xml:space="preserve">§ 32    Erlaubnis</w:t>
      </w:r>
    </w:p>
    <w:p>
      <w:r>
        <w:rPr>
          <w:rFonts w:ascii="Courier New" w:hAnsi="Courier New"/>
          <w:sz w:val="17"/>
        </w:rPr>
        <w:t xml:space="preserve">§ 33    Versagung der Erlaubnis</w:t>
      </w:r>
    </w:p>
    <w:p>
      <w:r>
        <w:rPr>
          <w:rFonts w:ascii="Courier New" w:hAnsi="Courier New"/>
          <w:sz w:val="17"/>
        </w:rPr>
        <w:t xml:space="preserve">§ 33a    Aussetzung oder Beschränkung der Erlaubnis bei Unternehmen mit Sitz außerhalb der Europäischen Union</w:t>
      </w:r>
    </w:p>
    <w:p>
      <w:r>
        <w:rPr>
          <w:rFonts w:ascii="Courier New" w:hAnsi="Courier New"/>
          <w:sz w:val="17"/>
        </w:rPr>
        <w:t xml:space="preserve">§ 33b    Anhörung der zuständigen Stellen eines anderen Staates des Europäischen Wirtschaftsraums</w:t>
      </w:r>
    </w:p>
    <w:p>
      <w:r>
        <w:rPr>
          <w:rFonts w:ascii="Courier New" w:hAnsi="Courier New"/>
          <w:sz w:val="17"/>
        </w:rPr>
        <w:t xml:space="preserve">§ 34    Stellvertretung und Fortführung bei Todesfall</w:t>
      </w:r>
    </w:p>
    <w:p>
      <w:r>
        <w:rPr>
          <w:rFonts w:ascii="Courier New" w:hAnsi="Courier New"/>
          <w:sz w:val="17"/>
        </w:rPr>
        <w:t xml:space="preserve">§ 35    Erlöschen und Aufhebung der Erlaubnis</w:t>
      </w:r>
    </w:p>
    <w:p>
      <w:r>
        <w:rPr>
          <w:rFonts w:ascii="Courier New" w:hAnsi="Courier New"/>
          <w:sz w:val="17"/>
        </w:rPr>
        <w:t xml:space="preserve">§ 36    Maßnahmen gegen Geschäftsleiter und Mitglieder des Verwaltungs- oder Aufsichtsorgans</w:t>
      </w:r>
    </w:p>
    <w:p>
      <w:r>
        <w:rPr>
          <w:rFonts w:ascii="Courier New" w:hAnsi="Courier New"/>
          <w:sz w:val="17"/>
        </w:rPr>
        <w:t xml:space="preserve">§ 36a    Tätigkeitsverbot für natürliche Personen</w:t>
      </w:r>
    </w:p>
    <w:p>
      <w:r>
        <w:rPr>
          <w:rFonts w:ascii="Courier New" w:hAnsi="Courier New"/>
          <w:sz w:val="17"/>
        </w:rPr>
        <w:t xml:space="preserve">§ 37    Einschreiten gegen unerlaubte oder verbotene Geschäfte</w:t>
      </w:r>
    </w:p>
    <w:p>
      <w:r>
        <w:rPr>
          <w:rFonts w:ascii="Courier New" w:hAnsi="Courier New"/>
          <w:sz w:val="17"/>
        </w:rPr>
        <w:t xml:space="preserve">§ 38    Folgen der Aufhebung und des Erlöschens der Erlaubnis, Maßnahmen bei der Abwicklung</w:t>
      </w:r>
    </w:p>
    <w:p>
      <w:r>
        <w:rPr>
          <w:rFonts w:ascii="Courier New" w:hAnsi="Courier New"/>
          <w:sz w:val="17"/>
        </w:rPr>
        <w:t xml:space="preserve">    2.Bezeichnungsschutz</w:t>
      </w:r>
    </w:p>
    <w:p>
      <w:r>
        <w:rPr>
          <w:rFonts w:ascii="Courier New" w:hAnsi="Courier New"/>
          <w:sz w:val="17"/>
        </w:rPr>
        <w:t xml:space="preserve">§ 39    Bezeichnungen "Bank" und "Bankier"</w:t>
      </w:r>
    </w:p>
    <w:p>
      <w:r>
        <w:rPr>
          <w:rFonts w:ascii="Courier New" w:hAnsi="Courier New"/>
          <w:sz w:val="17"/>
        </w:rPr>
        <w:t xml:space="preserve">§ 40    Bezeichnung "Sparkasse"</w:t>
      </w:r>
    </w:p>
    <w:p>
      <w:r>
        <w:rPr>
          <w:rFonts w:ascii="Courier New" w:hAnsi="Courier New"/>
          <w:sz w:val="17"/>
        </w:rPr>
        <w:t xml:space="preserve">§ 41    Ausnahmen</w:t>
      </w:r>
    </w:p>
    <w:p>
      <w:r>
        <w:rPr>
          <w:rFonts w:ascii="Courier New" w:hAnsi="Courier New"/>
          <w:sz w:val="17"/>
        </w:rPr>
        <w:t xml:space="preserve">§ 42    Entscheidung der Bundesanstalt</w:t>
      </w:r>
    </w:p>
    <w:p>
      <w:r>
        <w:rPr>
          <w:rFonts w:ascii="Courier New" w:hAnsi="Courier New"/>
          <w:sz w:val="17"/>
        </w:rPr>
        <w:t xml:space="preserve">§ 43    Registervorschriften</w:t>
      </w:r>
    </w:p>
    <w:p>
      <w:r>
        <w:rPr>
          <w:rFonts w:ascii="Courier New" w:hAnsi="Courier New"/>
          <w:sz w:val="17"/>
        </w:rPr>
        <w:t xml:space="preserve">    3.Auskünfte und Prüfungen</w:t>
      </w:r>
    </w:p>
    <w:p>
      <w:r>
        <w:rPr>
          <w:rFonts w:ascii="Courier New" w:hAnsi="Courier New"/>
          <w:sz w:val="17"/>
        </w:rPr>
        <w:t xml:space="preserve">§ 44    Auskünfte und Prüfungen von Instituten, Anbietern von Nebendienstleistungen, Finanzholding-Gesellschaften, gemischten Finanzholding-Gesellschaften und anderen Unternehmen</w:t>
      </w:r>
    </w:p>
    <w:p>
      <w:r>
        <w:rPr>
          <w:rFonts w:ascii="Courier New" w:hAnsi="Courier New"/>
          <w:sz w:val="17"/>
        </w:rPr>
        <w:t xml:space="preserve">§ 44a    Grenzüberschreitende Auskünfte und Prüfungen</w:t>
      </w:r>
    </w:p>
    <w:p>
      <w:r>
        <w:rPr>
          <w:rFonts w:ascii="Courier New" w:hAnsi="Courier New"/>
          <w:sz w:val="17"/>
        </w:rPr>
        <w:t xml:space="preserve">§ 44b    Prüfung der Inhaber bedeutender Beteiligungen</w:t>
      </w:r>
    </w:p>
    <w:p>
      <w:r>
        <w:rPr>
          <w:rFonts w:ascii="Courier New" w:hAnsi="Courier New"/>
          <w:sz w:val="17"/>
        </w:rPr>
        <w:t xml:space="preserve">§ 44c    Verfolgung unerlaubter Bankgeschäfte und Finanzdienstleistungen</w:t>
      </w:r>
    </w:p>
    <w:p>
      <w:r>
        <w:rPr>
          <w:rFonts w:ascii="Courier New" w:hAnsi="Courier New"/>
          <w:sz w:val="17"/>
        </w:rPr>
        <w:t xml:space="preserve">    4.Maßnahmen in besonderen Fällen</w:t>
      </w:r>
    </w:p>
    <w:p>
      <w:r>
        <w:rPr>
          <w:rFonts w:ascii="Courier New" w:hAnsi="Courier New"/>
          <w:sz w:val="17"/>
        </w:rPr>
        <w:t xml:space="preserve">§ 45    Maßnahmen zur Sicherstellung einer dauerhaften Erfüllung der regulatorischen Anforderungen</w:t>
      </w:r>
    </w:p>
    <w:p>
      <w:r>
        <w:rPr>
          <w:rFonts w:ascii="Courier New" w:hAnsi="Courier New"/>
          <w:sz w:val="17"/>
        </w:rPr>
        <w:t xml:space="preserve">§ 45a    Maßnahmen gegenüber Finanzholding-Gesellschaften und gemischten Finanzholding-Gesellschaften</w:t>
      </w:r>
    </w:p>
    <w:p>
      <w:r>
        <w:rPr>
          <w:rFonts w:ascii="Courier New" w:hAnsi="Courier New"/>
          <w:sz w:val="17"/>
        </w:rPr>
        <w:t xml:space="preserve">§ 45b    Maßnahmen bei organisatorischen Mängeln</w:t>
      </w:r>
    </w:p>
    <w:p>
      <w:r>
        <w:rPr>
          <w:rFonts w:ascii="Courier New" w:hAnsi="Courier New"/>
          <w:sz w:val="17"/>
        </w:rPr>
        <w:t xml:space="preserve">§ 45c    Sonderbeauftragter</w:t>
      </w:r>
    </w:p>
    <w:p>
      <w:r>
        <w:rPr>
          <w:rFonts w:ascii="Courier New" w:hAnsi="Courier New"/>
          <w:sz w:val="17"/>
        </w:rPr>
        <w:t xml:space="preserve">§ 46    Maßnahmen bei Gefahr</w:t>
      </w:r>
    </w:p>
    <w:p>
      <w:r>
        <w:rPr>
          <w:rFonts w:ascii="Courier New" w:hAnsi="Courier New"/>
          <w:sz w:val="17"/>
        </w:rPr>
        <w:t xml:space="preserve">§ 46a    Untersagungs- und Anordnungsbefugnis bei Verwenden externer Ratings</w:t>
      </w:r>
    </w:p>
    <w:p>
      <w:r>
        <w:rPr>
          <w:rFonts w:ascii="Courier New" w:hAnsi="Courier New"/>
          <w:sz w:val="17"/>
        </w:rPr>
        <w:t xml:space="preserve">§ 46b    Insolvenzantrag</w:t>
      </w:r>
    </w:p>
    <w:p>
      <w:r>
        <w:rPr>
          <w:rFonts w:ascii="Courier New" w:hAnsi="Courier New"/>
          <w:sz w:val="17"/>
        </w:rPr>
        <w:t xml:space="preserve">§ 46c    Insolvenzrechtliche Fristen und Haftungsfragen</w:t>
      </w:r>
    </w:p>
    <w:p>
      <w:r>
        <w:rPr>
          <w:rFonts w:ascii="Courier New" w:hAnsi="Courier New"/>
          <w:sz w:val="17"/>
        </w:rPr>
        <w:t xml:space="preserve">§ 46d    Unterrichtung der anderen Staaten des Europäischen Wirtschaftsraums über Sanierungsmaßnahmen</w:t>
      </w:r>
    </w:p>
    <w:p>
      <w:r>
        <w:rPr>
          <w:rFonts w:ascii="Courier New" w:hAnsi="Courier New"/>
          <w:sz w:val="17"/>
        </w:rPr>
        <w:t xml:space="preserve">§ 46e    Insolvenzverfahren in den Staaten des Europäischen Wirtschaftsraums</w:t>
      </w:r>
    </w:p>
    <w:p>
      <w:r>
        <w:rPr>
          <w:rFonts w:ascii="Courier New" w:hAnsi="Courier New"/>
          <w:sz w:val="17"/>
        </w:rPr>
        <w:t xml:space="preserve">§ 46f    Unterrichtung der Gläubiger im Insolvenzverfahren und Insolvenzrangfolge</w:t>
      </w:r>
    </w:p>
    <w:p>
      <w:r>
        <w:rPr>
          <w:rFonts w:ascii="Courier New" w:hAnsi="Courier New"/>
          <w:sz w:val="17"/>
        </w:rPr>
        <w:t xml:space="preserve">§ 46g    Moratorium, Einstellung des Bank- und Börsenverkehrs</w:t>
      </w:r>
    </w:p>
    <w:p>
      <w:r>
        <w:rPr>
          <w:rFonts w:ascii="Courier New" w:hAnsi="Courier New"/>
          <w:sz w:val="17"/>
        </w:rPr>
        <w:t xml:space="preserve">§ 46h    Wiederaufnahme des Bank- und Börsenverkehrs</w:t>
      </w:r>
    </w:p>
    <w:p>
      <w:r>
        <w:rPr>
          <w:rFonts w:ascii="Courier New" w:hAnsi="Courier New"/>
          <w:sz w:val="17"/>
        </w:rPr>
        <w:t xml:space="preserve">§ 46i    Zuordnung verwahrter kryptografischer Instrumente, Kosten der Aussonderung</w:t>
      </w:r>
    </w:p>
    <w:p>
      <w:r>
        <w:rPr>
          <w:rFonts w:ascii="Courier New" w:hAnsi="Courier New"/>
          <w:sz w:val="17"/>
        </w:rPr>
        <w:t xml:space="preserve">§ 47    Anordnungsbefugnis nach der Verordnung (EU) Nr. 1286/2014</w:t>
      </w:r>
    </w:p>
    <w:p>
      <w:r>
        <w:rPr>
          <w:rFonts w:ascii="Courier New" w:hAnsi="Courier New"/>
          <w:sz w:val="17"/>
        </w:rPr>
        <w:t xml:space="preserve">§ 47a    Besondere Befugnisse nach der Verordnung (EU) 2022/2554</w:t>
      </w:r>
    </w:p>
    <w:p>
      <w:r>
        <w:rPr>
          <w:rFonts w:ascii="Courier New" w:hAnsi="Courier New"/>
          <w:sz w:val="17"/>
        </w:rPr>
        <w:t xml:space="preserve">§ 48    Maßnahmen bei Verstößen gegen die Verordnung (EU) 2017/2402</w:t>
      </w:r>
    </w:p>
    <w:p>
      <w:r>
        <w:rPr>
          <w:rFonts w:ascii="Courier New" w:hAnsi="Courier New"/>
          <w:sz w:val="17"/>
        </w:rPr>
        <w:t xml:space="preserve">§ 48a    Maßnahmen bei Risiko einer übermäßigen Konzentration von Risikopositionen gegenüber einer zentralen Gegenpartei</w:t>
      </w:r>
    </w:p>
    <w:p>
      <w:r>
        <w:rPr>
          <w:rFonts w:ascii="Courier New" w:hAnsi="Courier New"/>
          <w:sz w:val="17"/>
        </w:rPr>
        <w:t xml:space="preserve">    4a.Maßnahmen gegenüber Kreditinstituten bei Gefahren für die Stabilität des Finanzsystems</w:t>
      </w:r>
    </w:p>
    <w:p>
      <w:r>
        <w:rPr>
          <w:rFonts w:ascii="Courier New" w:hAnsi="Courier New"/>
          <w:sz w:val="17"/>
        </w:rPr>
        <w:t xml:space="preserve">§ 48b    (weggefallen)</w:t>
      </w:r>
    </w:p>
    <w:p>
      <w:r>
        <w:rPr>
          <w:rFonts w:ascii="Courier New" w:hAnsi="Courier New"/>
          <w:sz w:val="17"/>
        </w:rPr>
        <w:t xml:space="preserve">§ 48c    (weggefallen)</w:t>
      </w:r>
    </w:p>
    <w:p>
      <w:r>
        <w:rPr>
          <w:rFonts w:ascii="Courier New" w:hAnsi="Courier New"/>
          <w:sz w:val="17"/>
        </w:rPr>
        <w:t xml:space="preserve">§ 48d    (weggefallen)</w:t>
      </w:r>
    </w:p>
    <w:p>
      <w:r>
        <w:rPr>
          <w:rFonts w:ascii="Courier New" w:hAnsi="Courier New"/>
          <w:sz w:val="17"/>
        </w:rPr>
        <w:t xml:space="preserve">§ 48e    (weggefallen)</w:t>
      </w:r>
    </w:p>
    <w:p>
      <w:r>
        <w:rPr>
          <w:rFonts w:ascii="Courier New" w:hAnsi="Courier New"/>
          <w:sz w:val="17"/>
        </w:rPr>
        <w:t xml:space="preserve">§ 48f    (weggefallen)</w:t>
      </w:r>
    </w:p>
    <w:p>
      <w:r>
        <w:rPr>
          <w:rFonts w:ascii="Courier New" w:hAnsi="Courier New"/>
          <w:sz w:val="17"/>
        </w:rPr>
        <w:t xml:space="preserve">§ 48g    (weggefallen)</w:t>
      </w:r>
    </w:p>
    <w:p>
      <w:r>
        <w:rPr>
          <w:rFonts w:ascii="Courier New" w:hAnsi="Courier New"/>
          <w:sz w:val="17"/>
        </w:rPr>
        <w:t xml:space="preserve">§ 48h    (weggefallen)</w:t>
      </w:r>
    </w:p>
    <w:p>
      <w:r>
        <w:rPr>
          <w:rFonts w:ascii="Courier New" w:hAnsi="Courier New"/>
          <w:sz w:val="17"/>
        </w:rPr>
        <w:t xml:space="preserve">§ 48i    (weggefallen)</w:t>
      </w:r>
    </w:p>
    <w:p>
      <w:r>
        <w:rPr>
          <w:rFonts w:ascii="Courier New" w:hAnsi="Courier New"/>
          <w:sz w:val="17"/>
        </w:rPr>
        <w:t xml:space="preserve">§ 48j    (weggefallen)</w:t>
      </w:r>
    </w:p>
    <w:p>
      <w:r>
        <w:rPr>
          <w:rFonts w:ascii="Courier New" w:hAnsi="Courier New"/>
          <w:sz w:val="17"/>
        </w:rPr>
        <w:t xml:space="preserve">§ 48k    (weggefallen)</w:t>
      </w:r>
    </w:p>
    <w:p>
      <w:r>
        <w:rPr>
          <w:rFonts w:ascii="Courier New" w:hAnsi="Courier New"/>
          <w:sz w:val="17"/>
        </w:rPr>
        <w:t xml:space="preserve">§ 48l    (weggefallen)</w:t>
      </w:r>
    </w:p>
    <w:p>
      <w:r>
        <w:rPr>
          <w:rFonts w:ascii="Courier New" w:hAnsi="Courier New"/>
          <w:sz w:val="17"/>
        </w:rPr>
        <w:t xml:space="preserve">§ 48m    (weggefallen)</w:t>
      </w:r>
    </w:p>
    <w:p>
      <w:r>
        <w:rPr>
          <w:rFonts w:ascii="Courier New" w:hAnsi="Courier New"/>
          <w:sz w:val="17"/>
        </w:rPr>
        <w:t xml:space="preserve">§ 48n    (weggefallen)</w:t>
      </w:r>
    </w:p>
    <w:p>
      <w:r>
        <w:rPr>
          <w:rFonts w:ascii="Courier New" w:hAnsi="Courier New"/>
          <w:sz w:val="17"/>
        </w:rPr>
        <w:t xml:space="preserve">§ 48o    (weggefallen)</w:t>
      </w:r>
    </w:p>
    <w:p>
      <w:r>
        <w:rPr>
          <w:rFonts w:ascii="Courier New" w:hAnsi="Courier New"/>
          <w:sz w:val="17"/>
        </w:rPr>
        <w:t xml:space="preserve">§ 48p    (weggefallen)</w:t>
      </w:r>
    </w:p>
    <w:p>
      <w:r>
        <w:rPr>
          <w:rFonts w:ascii="Courier New" w:hAnsi="Courier New"/>
          <w:sz w:val="17"/>
        </w:rPr>
        <w:t xml:space="preserve">§ 48q    (weggefallen)</w:t>
      </w:r>
    </w:p>
    <w:p>
      <w:r>
        <w:rPr>
          <w:rFonts w:ascii="Courier New" w:hAnsi="Courier New"/>
          <w:sz w:val="17"/>
        </w:rPr>
        <w:t xml:space="preserve">§ 48r    (weggefallen)</w:t>
      </w:r>
    </w:p>
    <w:p>
      <w:r>
        <w:rPr>
          <w:rFonts w:ascii="Courier New" w:hAnsi="Courier New"/>
          <w:sz w:val="17"/>
        </w:rPr>
        <w:t xml:space="preserve">§ 48s    (weggefallen)</w:t>
      </w:r>
    </w:p>
    <w:p>
      <w:r>
        <w:rPr>
          <w:rFonts w:ascii="Courier New" w:hAnsi="Courier New"/>
          <w:sz w:val="17"/>
        </w:rPr>
        <w:t xml:space="preserve">§ 48t    Maßnahmen zur Begrenzung makroprudenzieller oder systemischer Risiken</w:t>
      </w:r>
    </w:p>
    <w:p>
      <w:r>
        <w:rPr>
          <w:rFonts w:ascii="Courier New" w:hAnsi="Courier New"/>
          <w:sz w:val="17"/>
        </w:rPr>
        <w:t xml:space="preserve">§ 48u    Maßnahmen zur Begrenzung makroprudenzieller Risiken im Bereich der Darlehensvergabe zum Bau oder zum Erwerb von Wohnimmobilien; Verordnungsermächtigung</w:t>
      </w:r>
    </w:p>
    <w:p>
      <w:r>
        <w:rPr>
          <w:rFonts w:ascii="Courier New" w:hAnsi="Courier New"/>
          <w:sz w:val="17"/>
        </w:rPr>
        <w:t xml:space="preserve">    5.Vollziehbarkeit, Zwangsmittel, Umlage und Kosten</w:t>
      </w:r>
    </w:p>
    <w:p>
      <w:r>
        <w:rPr>
          <w:rFonts w:ascii="Courier New" w:hAnsi="Courier New"/>
          <w:sz w:val="17"/>
        </w:rPr>
        <w:t xml:space="preserve">§ 49    Sofortige Vollziehbarkeit</w:t>
      </w:r>
    </w:p>
    <w:p>
      <w:r>
        <w:rPr>
          <w:rFonts w:ascii="Courier New" w:hAnsi="Courier New"/>
          <w:sz w:val="17"/>
        </w:rPr>
        <w:t xml:space="preserve">§ 50    Periodische Zwangsgelder</w:t>
      </w:r>
    </w:p>
    <w:p>
      <w:r>
        <w:rPr>
          <w:rFonts w:ascii="Courier New" w:hAnsi="Courier New"/>
          <w:sz w:val="17"/>
        </w:rPr>
        <w:t xml:space="preserve">§ 51    Umlage und Kosten</w:t>
      </w:r>
    </w:p>
    <w:p>
      <w:r>
        <w:rPr>
          <w:rFonts w:ascii="Courier New" w:hAnsi="Courier New"/>
          <w:sz w:val="17"/>
        </w:rPr>
        <w:t xml:space="preserve">Vierter Abschnitt</w:t>
      </w:r>
    </w:p>
    <w:p>
      <w:r>
        <w:rPr>
          <w:rFonts w:ascii="Courier New" w:hAnsi="Courier New"/>
          <w:sz w:val="17"/>
        </w:rPr>
        <w:t xml:space="preserve">    Besondere Vorschriften für Wohnungsunternehmen mit Spareinrichtung</w:t>
      </w:r>
    </w:p>
    <w:p>
      <w:r>
        <w:rPr>
          <w:rFonts w:ascii="Courier New" w:hAnsi="Courier New"/>
          <w:sz w:val="17"/>
        </w:rPr>
        <w:t xml:space="preserve">§ 51a    Anforderungen an die Eigenkapitalausstattung für Wohnungsunternehmen mit Spareinrichtung</w:t>
      </w:r>
    </w:p>
    <w:p>
      <w:r>
        <w:rPr>
          <w:rFonts w:ascii="Courier New" w:hAnsi="Courier New"/>
          <w:sz w:val="17"/>
        </w:rPr>
        <w:t xml:space="preserve">§ 51b    Anforderungen an die Liquidität für Wohnungsunternehmen mit Spareinrichtung</w:t>
      </w:r>
    </w:p>
    <w:p>
      <w:r>
        <w:rPr>
          <w:rFonts w:ascii="Courier New" w:hAnsi="Courier New"/>
          <w:sz w:val="17"/>
        </w:rPr>
        <w:t xml:space="preserve">§ 51c    Sonstige Sondervorschriften für Wohnungsunternehmen mit Spareinrichtung</w:t>
      </w:r>
    </w:p>
    <w:p>
      <w:r>
        <w:rPr>
          <w:rFonts w:ascii="Courier New" w:hAnsi="Courier New"/>
          <w:sz w:val="17"/>
        </w:rPr>
        <w:t xml:space="preserve">Fünfter Abschnitt</w:t>
      </w:r>
    </w:p>
    <w:p>
      <w:r>
        <w:rPr>
          <w:rFonts w:ascii="Courier New" w:hAnsi="Courier New"/>
          <w:sz w:val="17"/>
        </w:rPr>
        <w:t xml:space="preserve">    Sondervorschriften</w:t>
      </w:r>
    </w:p>
    <w:p>
      <w:r>
        <w:rPr>
          <w:rFonts w:ascii="Courier New" w:hAnsi="Courier New"/>
          <w:sz w:val="17"/>
        </w:rPr>
        <w:t xml:space="preserve">§ 52    Sonderaufsicht</w:t>
      </w:r>
    </w:p>
    <w:p>
      <w:r>
        <w:rPr>
          <w:rFonts w:ascii="Courier New" w:hAnsi="Courier New"/>
          <w:sz w:val="17"/>
        </w:rPr>
        <w:t xml:space="preserve">§ 52a    Verjährung von Ansprüchen gegen Organmitglieder von Kreditinstituten</w:t>
      </w:r>
    </w:p>
    <w:p>
      <w:r>
        <w:rPr>
          <w:rFonts w:ascii="Courier New" w:hAnsi="Courier New"/>
          <w:sz w:val="17"/>
        </w:rPr>
        <w:t xml:space="preserve">§ 53    Zweigstellen von Unternehmen mit Sitz im Ausland; Verordnungsermächtigung</w:t>
      </w:r>
    </w:p>
    <w:p>
      <w:r>
        <w:rPr>
          <w:rFonts w:ascii="Courier New" w:hAnsi="Courier New"/>
          <w:sz w:val="17"/>
        </w:rPr>
        <w:t xml:space="preserve">§ 53a    Repräsentanzen von Instituten mit Sitz im Ausland</w:t>
      </w:r>
    </w:p>
    <w:p>
      <w:r>
        <w:rPr>
          <w:rFonts w:ascii="Courier New" w:hAnsi="Courier New"/>
          <w:sz w:val="17"/>
        </w:rPr>
        <w:t xml:space="preserve">§ 53b    Unternehmen mit Sitz in einem anderen Staat des Europäischen Wirtschaftsraums</w:t>
      </w:r>
    </w:p>
    <w:p>
      <w:r>
        <w:rPr>
          <w:rFonts w:ascii="Courier New" w:hAnsi="Courier New"/>
          <w:sz w:val="17"/>
        </w:rPr>
        <w:t xml:space="preserve">§ 53c    Besondere Anforderungen an CRD-Drittstaatenzweigstellen</w:t>
      </w:r>
    </w:p>
    <w:p>
      <w:r>
        <w:rPr>
          <w:rFonts w:ascii="Courier New" w:hAnsi="Courier New"/>
          <w:sz w:val="17"/>
        </w:rPr>
        <w:t xml:space="preserve">§ 53ca    Einstufung von CRD-Drittstaatenzweigstellen in Risikoklassen</w:t>
      </w:r>
    </w:p>
    <w:p>
      <w:r>
        <w:rPr>
          <w:rFonts w:ascii="Courier New" w:hAnsi="Courier New"/>
          <w:sz w:val="17"/>
        </w:rPr>
        <w:t xml:space="preserve">§ 53cb    Qualifizierte CRD-Drittstaatenzweigstellen</w:t>
      </w:r>
    </w:p>
    <w:p>
      <w:r>
        <w:rPr>
          <w:rFonts w:ascii="Courier New" w:hAnsi="Courier New"/>
          <w:sz w:val="17"/>
        </w:rPr>
        <w:t xml:space="preserve">§ 53cc    Voraussetzungen der Erlaubniserteilung</w:t>
      </w:r>
    </w:p>
    <w:p>
      <w:r>
        <w:rPr>
          <w:rFonts w:ascii="Courier New" w:hAnsi="Courier New"/>
          <w:sz w:val="17"/>
        </w:rPr>
        <w:t xml:space="preserve">§ 53cd    Versagungs-, Erlöschens- und Aufhebungsgründe</w:t>
      </w:r>
    </w:p>
    <w:p>
      <w:r>
        <w:rPr>
          <w:rFonts w:ascii="Courier New" w:hAnsi="Courier New"/>
          <w:sz w:val="17"/>
        </w:rPr>
        <w:t xml:space="preserve">§ 53ce    Kapitalausstattung</w:t>
      </w:r>
    </w:p>
    <w:p>
      <w:r>
        <w:rPr>
          <w:rFonts w:ascii="Courier New" w:hAnsi="Courier New"/>
          <w:sz w:val="17"/>
        </w:rPr>
        <w:t xml:space="preserve">§ 53cf    Liquiditätsanforderungen</w:t>
      </w:r>
    </w:p>
    <w:p>
      <w:r>
        <w:rPr>
          <w:rFonts w:ascii="Courier New" w:hAnsi="Courier New"/>
          <w:sz w:val="17"/>
        </w:rPr>
        <w:t xml:space="preserve">§ 53cg    Interne Unternehmensführung und Risikomanagement</w:t>
      </w:r>
    </w:p>
    <w:p>
      <w:r>
        <w:rPr>
          <w:rFonts w:ascii="Courier New" w:hAnsi="Courier New"/>
          <w:sz w:val="17"/>
        </w:rPr>
        <w:t xml:space="preserve">§ 53ch    Buchungs- und Rechnungslegungsvorschriften</w:t>
      </w:r>
    </w:p>
    <w:p>
      <w:r>
        <w:rPr>
          <w:rFonts w:ascii="Courier New" w:hAnsi="Courier New"/>
          <w:sz w:val="17"/>
        </w:rPr>
        <w:t xml:space="preserve">§ 53ci    Verpflichtung zur Gründung eines Tochterunternehmens</w:t>
      </w:r>
    </w:p>
    <w:p>
      <w:r>
        <w:rPr>
          <w:rFonts w:ascii="Courier New" w:hAnsi="Courier New"/>
          <w:sz w:val="17"/>
        </w:rPr>
        <w:t xml:space="preserve">§ 53cj    Bewertung der Systemrelevanz</w:t>
      </w:r>
    </w:p>
    <w:p>
      <w:r>
        <w:rPr>
          <w:rFonts w:ascii="Courier New" w:hAnsi="Courier New"/>
          <w:sz w:val="17"/>
        </w:rPr>
        <w:t xml:space="preserve">§ 53ck    Meldepflichten</w:t>
      </w:r>
    </w:p>
    <w:p>
      <w:r>
        <w:rPr>
          <w:rFonts w:ascii="Courier New" w:hAnsi="Courier New"/>
          <w:sz w:val="17"/>
        </w:rPr>
        <w:t xml:space="preserve">§ 53cl    Häufigkeit der Meldung</w:t>
      </w:r>
    </w:p>
    <w:p>
      <w:r>
        <w:rPr>
          <w:rFonts w:ascii="Courier New" w:hAnsi="Courier New"/>
          <w:sz w:val="17"/>
        </w:rPr>
        <w:t xml:space="preserve">§ 53cm    Aufsichtliches Prüfungsprogramm</w:t>
      </w:r>
    </w:p>
    <w:p>
      <w:r>
        <w:rPr>
          <w:rFonts w:ascii="Courier New" w:hAnsi="Courier New"/>
          <w:sz w:val="17"/>
        </w:rPr>
        <w:t xml:space="preserve">§ 53cn    Aufsichtliche Überprüfung und Beurteilung</w:t>
      </w:r>
    </w:p>
    <w:p>
      <w:r>
        <w:rPr>
          <w:rFonts w:ascii="Courier New" w:hAnsi="Courier New"/>
          <w:sz w:val="17"/>
        </w:rPr>
        <w:t xml:space="preserve">§ 53co    Aufsichtsmaßnahmen</w:t>
      </w:r>
    </w:p>
    <w:p>
      <w:r>
        <w:rPr>
          <w:rFonts w:ascii="Courier New" w:hAnsi="Courier New"/>
          <w:sz w:val="17"/>
        </w:rPr>
        <w:t xml:space="preserve">§ 53cp    Zusammenarbeit und Aufsichtskollegien</w:t>
      </w:r>
    </w:p>
    <w:p>
      <w:r>
        <w:rPr>
          <w:rFonts w:ascii="Courier New" w:hAnsi="Courier New"/>
          <w:sz w:val="17"/>
        </w:rPr>
        <w:t xml:space="preserve">§ 53cq    Meldung an die Europäische Bankenaufsichtsbehörde</w:t>
      </w:r>
    </w:p>
    <w:p>
      <w:r>
        <w:rPr>
          <w:rFonts w:ascii="Courier New" w:hAnsi="Courier New"/>
          <w:sz w:val="17"/>
        </w:rPr>
        <w:t xml:space="preserve">§ 53d    Mutterunternehmen mit Sitz in einem Drittstaat</w:t>
      </w:r>
    </w:p>
    <w:p>
      <w:r>
        <w:rPr>
          <w:rFonts w:ascii="Courier New" w:hAnsi="Courier New"/>
          <w:sz w:val="17"/>
        </w:rPr>
        <w:t xml:space="preserve">Sechster Abschnitt</w:t>
      </w:r>
    </w:p>
    <w:p>
      <w:r>
        <w:rPr>
          <w:rFonts w:ascii="Courier New" w:hAnsi="Courier New"/>
          <w:sz w:val="17"/>
        </w:rPr>
        <w:t xml:space="preserve">    Sondervorschriften für zentrale Gegenparteien und Zentralverwahrer</w:t>
      </w:r>
    </w:p>
    <w:p>
      <w:r>
        <w:rPr>
          <w:rFonts w:ascii="Courier New" w:hAnsi="Courier New"/>
          <w:sz w:val="17"/>
        </w:rPr>
        <w:t xml:space="preserve">    1.Zentrale Gegenparteien</w:t>
      </w:r>
    </w:p>
    <w:p>
      <w:r>
        <w:rPr>
          <w:rFonts w:ascii="Courier New" w:hAnsi="Courier New"/>
          <w:sz w:val="17"/>
        </w:rPr>
        <w:t xml:space="preserve">§ 53e    Inhaber bedeutender Beteiligungen</w:t>
      </w:r>
    </w:p>
    <w:p>
      <w:r>
        <w:rPr>
          <w:rFonts w:ascii="Courier New" w:hAnsi="Courier New"/>
          <w:sz w:val="17"/>
        </w:rPr>
        <w:t xml:space="preserve">§ 53f    Aufsichtskollegien</w:t>
      </w:r>
    </w:p>
    <w:p>
      <w:r>
        <w:rPr>
          <w:rFonts w:ascii="Courier New" w:hAnsi="Courier New"/>
          <w:sz w:val="17"/>
        </w:rPr>
        <w:t xml:space="preserve">§ 53g    Finanzmittelausstattung von zentralen Gegenparteien</w:t>
      </w:r>
    </w:p>
    <w:p>
      <w:r>
        <w:rPr>
          <w:rFonts w:ascii="Courier New" w:hAnsi="Courier New"/>
          <w:sz w:val="17"/>
        </w:rPr>
        <w:t xml:space="preserve">§ 53h    Liquidität</w:t>
      </w:r>
    </w:p>
    <w:p>
      <w:r>
        <w:rPr>
          <w:rFonts w:ascii="Courier New" w:hAnsi="Courier New"/>
          <w:sz w:val="17"/>
        </w:rPr>
        <w:t xml:space="preserve">§ 53i    Gewährung des Zugangs nach den Artikeln 7 und 8 der Verordnung (EU) Nr. 648/2012</w:t>
      </w:r>
    </w:p>
    <w:p>
      <w:r>
        <w:rPr>
          <w:rFonts w:ascii="Courier New" w:hAnsi="Courier New"/>
          <w:sz w:val="17"/>
        </w:rPr>
        <w:t xml:space="preserve">§ 53j    Anzeigen; Verordnungsermächtigung</w:t>
      </w:r>
    </w:p>
    <w:p>
      <w:r>
        <w:rPr>
          <w:rFonts w:ascii="Courier New" w:hAnsi="Courier New"/>
          <w:sz w:val="17"/>
        </w:rPr>
        <w:t xml:space="preserve">§ 53k    Auslagerung von Aktivitäten und Prozessen</w:t>
      </w:r>
    </w:p>
    <w:p>
      <w:r>
        <w:rPr>
          <w:rFonts w:ascii="Courier New" w:hAnsi="Courier New"/>
          <w:sz w:val="17"/>
        </w:rPr>
        <w:t xml:space="preserve">§ 53l    Anordnungsbefugnis; Maßnahmen bei organisatorischen Mängeln</w:t>
      </w:r>
    </w:p>
    <w:p>
      <w:r>
        <w:rPr>
          <w:rFonts w:ascii="Courier New" w:hAnsi="Courier New"/>
          <w:sz w:val="17"/>
        </w:rPr>
        <w:t xml:space="preserve">§ 53m    Inhalt des Zulassungsantrags; Anforderung von Unterlagen; Verzicht auf die Anhörung</w:t>
      </w:r>
    </w:p>
    <w:p>
      <w:r>
        <w:rPr>
          <w:rFonts w:ascii="Courier New" w:hAnsi="Courier New"/>
          <w:sz w:val="17"/>
        </w:rPr>
        <w:t xml:space="preserve">§ 53n    Maßnahmen zur Verbesserung der Finanzmittel und der Liquidität einer nach der Verordnung (EU) Nr. 648/2012 zugelassenen zentralen Gegenpartei</w:t>
      </w:r>
    </w:p>
    <w:p>
      <w:r>
        <w:rPr>
          <w:rFonts w:ascii="Courier New" w:hAnsi="Courier New"/>
          <w:sz w:val="17"/>
        </w:rPr>
        <w:t xml:space="preserve">    2.Zentralverwahrer</w:t>
      </w:r>
    </w:p>
    <w:p>
      <w:r>
        <w:rPr>
          <w:rFonts w:ascii="Courier New" w:hAnsi="Courier New"/>
          <w:sz w:val="17"/>
        </w:rPr>
        <w:t xml:space="preserve">§ 53o    Anträge nach der Verordnung (EU) Nr. 909/2014; Verschwiegenheitspflicht</w:t>
      </w:r>
    </w:p>
    <w:p>
      <w:r>
        <w:rPr>
          <w:rFonts w:ascii="Courier New" w:hAnsi="Courier New"/>
          <w:sz w:val="17"/>
        </w:rPr>
        <w:t xml:space="preserve">§ 53p    Anordnungsbefugnis für die Aufsicht nach der Verordnung (EU) Nr. 909/2014</w:t>
      </w:r>
    </w:p>
    <w:p>
      <w:r>
        <w:rPr>
          <w:rFonts w:ascii="Courier New" w:hAnsi="Courier New"/>
          <w:sz w:val="17"/>
        </w:rPr>
        <w:t xml:space="preserve">§ 53q    Eigentumsrechte an Zentralverwahrern</w:t>
      </w:r>
    </w:p>
    <w:p>
      <w:r>
        <w:rPr>
          <w:rFonts w:ascii="Courier New" w:hAnsi="Courier New"/>
          <w:sz w:val="17"/>
        </w:rPr>
        <w:t xml:space="preserve">Abschnitt 6a</w:t>
      </w:r>
    </w:p>
    <w:p>
      <w:r>
        <w:rPr>
          <w:rFonts w:ascii="Courier New" w:hAnsi="Courier New"/>
          <w:sz w:val="17"/>
        </w:rPr>
        <w:t xml:space="preserve">    DLT-Pilotregelung nach der Verordnung (EU) 2022/858</w:t>
      </w:r>
    </w:p>
    <w:p>
      <w:r>
        <w:rPr>
          <w:rFonts w:ascii="Courier New" w:hAnsi="Courier New"/>
          <w:sz w:val="17"/>
        </w:rPr>
        <w:t xml:space="preserve">§ 53r    Zuständigkeit</w:t>
      </w:r>
    </w:p>
    <w:p>
      <w:r>
        <w:rPr>
          <w:rFonts w:ascii="Courier New" w:hAnsi="Courier New"/>
          <w:sz w:val="17"/>
        </w:rPr>
        <w:t xml:space="preserve">§ 53s    Ausnahmen von der Erlaubnispflicht nach § 32</w:t>
      </w:r>
    </w:p>
    <w:p>
      <w:r>
        <w:rPr>
          <w:rFonts w:ascii="Courier New" w:hAnsi="Courier New"/>
          <w:sz w:val="17"/>
        </w:rPr>
        <w:t xml:space="preserve">§ 53t    DLT-Abwicklungssysteme und DLT-Handels- und Abwicklungssysteme</w:t>
      </w:r>
    </w:p>
    <w:p>
      <w:r>
        <w:rPr>
          <w:rFonts w:ascii="Courier New" w:hAnsi="Courier New"/>
          <w:sz w:val="17"/>
        </w:rPr>
        <w:t xml:space="preserve">§ 53u    Unterlagen und Anträge nach der Verordnung (EU) 2022/858</w:t>
      </w:r>
    </w:p>
    <w:p>
      <w:r>
        <w:rPr>
          <w:rFonts w:ascii="Courier New" w:hAnsi="Courier New"/>
          <w:sz w:val="17"/>
        </w:rPr>
        <w:t xml:space="preserve">§ 53v    Betreiber organisierter Märkte</w:t>
      </w:r>
    </w:p>
    <w:p>
      <w:r>
        <w:rPr>
          <w:rFonts w:ascii="Courier New" w:hAnsi="Courier New"/>
          <w:sz w:val="17"/>
        </w:rPr>
        <w:t xml:space="preserve">Siebenter Abschnitt</w:t>
      </w:r>
    </w:p>
    <w:p>
      <w:r>
        <w:rPr>
          <w:rFonts w:ascii="Courier New" w:hAnsi="Courier New"/>
          <w:sz w:val="17"/>
        </w:rPr>
        <w:t xml:space="preserve">    Strafvorschriften, Bußgeldvorschriften</w:t>
      </w:r>
    </w:p>
    <w:p>
      <w:r>
        <w:rPr>
          <w:rFonts w:ascii="Courier New" w:hAnsi="Courier New"/>
          <w:sz w:val="17"/>
        </w:rPr>
        <w:t xml:space="preserve">§ 54    Verbotene Geschäfte, Handeln ohne Erlaubnis</w:t>
      </w:r>
    </w:p>
    <w:p>
      <w:r>
        <w:rPr>
          <w:rFonts w:ascii="Courier New" w:hAnsi="Courier New"/>
          <w:sz w:val="17"/>
        </w:rPr>
        <w:t xml:space="preserve">§ 54a    Strafvorschriften</w:t>
      </w:r>
    </w:p>
    <w:p>
      <w:r>
        <w:rPr>
          <w:rFonts w:ascii="Courier New" w:hAnsi="Courier New"/>
          <w:sz w:val="17"/>
        </w:rPr>
        <w:t xml:space="preserve">§ 55    Verletzung der Pflicht zur Anzeige der Zahlungsunfähigkeit oder der Überschuldung</w:t>
      </w:r>
    </w:p>
    <w:p>
      <w:r>
        <w:rPr>
          <w:rFonts w:ascii="Courier New" w:hAnsi="Courier New"/>
          <w:sz w:val="17"/>
        </w:rPr>
        <w:t xml:space="preserve">§ 55a    Unbefugte Verwertung von Angaben über Millionenkredite</w:t>
      </w:r>
    </w:p>
    <w:p>
      <w:r>
        <w:rPr>
          <w:rFonts w:ascii="Courier New" w:hAnsi="Courier New"/>
          <w:sz w:val="17"/>
        </w:rPr>
        <w:t xml:space="preserve">§ 55b    Unbefugte Offenbarung von Angaben über Millionenkredite</w:t>
      </w:r>
    </w:p>
    <w:p>
      <w:r>
        <w:rPr>
          <w:rFonts w:ascii="Courier New" w:hAnsi="Courier New"/>
          <w:sz w:val="17"/>
        </w:rPr>
        <w:t xml:space="preserve">§ 56    Bußgeldvorschriften</w:t>
      </w:r>
    </w:p>
    <w:p>
      <w:r>
        <w:rPr>
          <w:rFonts w:ascii="Courier New" w:hAnsi="Courier New"/>
          <w:sz w:val="17"/>
        </w:rPr>
        <w:t xml:space="preserve">§ 57    Bußgeldvorschriften</w:t>
      </w:r>
    </w:p>
    <w:p>
      <w:r>
        <w:rPr>
          <w:rFonts w:ascii="Courier New" w:hAnsi="Courier New"/>
          <w:sz w:val="17"/>
        </w:rPr>
        <w:t xml:space="preserve">§ 58    (weggefallen)</w:t>
      </w:r>
    </w:p>
    <w:p>
      <w:r>
        <w:rPr>
          <w:rFonts w:ascii="Courier New" w:hAnsi="Courier New"/>
          <w:sz w:val="17"/>
        </w:rPr>
        <w:t xml:space="preserve">§ 59    Geldbußen gegen Unternehmen</w:t>
      </w:r>
    </w:p>
    <w:p>
      <w:r>
        <w:rPr>
          <w:rFonts w:ascii="Courier New" w:hAnsi="Courier New"/>
          <w:sz w:val="17"/>
        </w:rPr>
        <w:t xml:space="preserve">§ 60    Zuständige Verwaltungsbehörde</w:t>
      </w:r>
    </w:p>
    <w:p>
      <w:r>
        <w:rPr>
          <w:rFonts w:ascii="Courier New" w:hAnsi="Courier New"/>
          <w:sz w:val="17"/>
        </w:rPr>
        <w:t xml:space="preserve">§ 60a    Beteiligung der Bundesanstalt und Mitteilungen in Strafsachen</w:t>
      </w:r>
    </w:p>
    <w:p>
      <w:r>
        <w:rPr>
          <w:rFonts w:ascii="Courier New" w:hAnsi="Courier New"/>
          <w:sz w:val="17"/>
        </w:rPr>
        <w:t xml:space="preserve">§ 60b    Bekanntmachung von Maßnahmen</w:t>
      </w:r>
    </w:p>
    <w:p>
      <w:r>
        <w:rPr>
          <w:rFonts w:ascii="Courier New" w:hAnsi="Courier New"/>
          <w:sz w:val="17"/>
        </w:rPr>
        <w:t xml:space="preserve">§ 60c    Bekanntmachung von Maßnahmen und Sanktionen wegen Verstößen gegen die Verordnung (EU) Nr. 909/2014, die Verordnung (EU) 2015/2365, die Verordnung (EU) 2016/1011, die Verordnung (EU) 2017/2402 oder die Verordnung (EU) 2022/2554</w:t>
      </w:r>
    </w:p>
    <w:p>
      <w:r>
        <w:rPr>
          <w:rFonts w:ascii="Courier New" w:hAnsi="Courier New"/>
          <w:sz w:val="17"/>
        </w:rPr>
        <w:t xml:space="preserve">§ 60d    Bekanntmachung von Maßnahmen und Sanktionen gegen Wertpapierdienstleistungsunternehmen</w:t>
      </w:r>
    </w:p>
    <w:p>
      <w:r>
        <w:rPr>
          <w:rFonts w:ascii="Courier New" w:hAnsi="Courier New"/>
          <w:sz w:val="17"/>
        </w:rPr>
        <w:t xml:space="preserve">Achter Abschnitt</w:t>
      </w:r>
    </w:p>
    <w:p>
      <w:r>
        <w:rPr>
          <w:rFonts w:ascii="Courier New" w:hAnsi="Courier New"/>
          <w:sz w:val="17"/>
        </w:rPr>
        <w:t xml:space="preserve">    Übergangs- und Schlußvorschriften</w:t>
      </w:r>
    </w:p>
    <w:p>
      <w:r>
        <w:rPr>
          <w:rFonts w:ascii="Courier New" w:hAnsi="Courier New"/>
          <w:sz w:val="17"/>
        </w:rPr>
        <w:t xml:space="preserve">§ 61    Erlaubnis für bestehende Kreditinstitute</w:t>
      </w:r>
    </w:p>
    <w:p>
      <w:r>
        <w:rPr>
          <w:rFonts w:ascii="Courier New" w:hAnsi="Courier New"/>
          <w:sz w:val="17"/>
        </w:rPr>
        <w:t xml:space="preserve">§ 62    Überleitungsbestimmungen</w:t>
      </w:r>
    </w:p>
    <w:p>
      <w:r>
        <w:rPr>
          <w:rFonts w:ascii="Courier New" w:hAnsi="Courier New"/>
          <w:sz w:val="17"/>
        </w:rPr>
        <w:t xml:space="preserve">§ 63    (Aufhebung und Änderung von Rechtsvorschriften)</w:t>
      </w:r>
    </w:p>
    <w:p>
      <w:r>
        <w:rPr>
          <w:rFonts w:ascii="Courier New" w:hAnsi="Courier New"/>
          <w:sz w:val="17"/>
        </w:rPr>
        <w:t xml:space="preserve">§ 63a    Sondervorschriften für das in Artikel 3 des Einigungsvertrages genannte Gebiet</w:t>
      </w:r>
    </w:p>
    <w:p>
      <w:r>
        <w:rPr>
          <w:rFonts w:ascii="Courier New" w:hAnsi="Courier New"/>
          <w:sz w:val="17"/>
        </w:rPr>
        <w:t xml:space="preserve">§ 64    Nachfolgeunternehmen der Deutschen Bundespost</w:t>
      </w:r>
    </w:p>
    <w:p>
      <w:r>
        <w:rPr>
          <w:rFonts w:ascii="Courier New" w:hAnsi="Courier New"/>
          <w:sz w:val="17"/>
        </w:rPr>
        <w:t xml:space="preserve">§ 64a    Übergangsvorschrift zum Risikoreduzierungsgesetz</w:t>
      </w:r>
    </w:p>
    <w:p>
      <w:r>
        <w:rPr>
          <w:rFonts w:ascii="Courier New" w:hAnsi="Courier New"/>
          <w:sz w:val="17"/>
        </w:rPr>
        <w:t xml:space="preserve">§ 64b    Übergangsvorschrift zu § 24 Absatz 1d</w:t>
      </w:r>
    </w:p>
    <w:p>
      <w:r>
        <w:rPr>
          <w:rFonts w:ascii="Courier New" w:hAnsi="Courier New"/>
          <w:sz w:val="17"/>
        </w:rPr>
        <w:t xml:space="preserve">§ 64c    Übergangsvorschriften zum Bankenrichtlinienumsetzungs- und Bürokratieentlastungsgesetz</w:t>
      </w:r>
    </w:p>
    <w:p>
      <w:r>
        <w:rPr>
          <w:rFonts w:ascii="Courier New" w:hAnsi="Courier New"/>
          <w:sz w:val="17"/>
        </w:rPr>
        <w:t xml:space="preserve">§ 64d    (weggefallen)</w:t>
      </w:r>
    </w:p>
    <w:p>
      <w:r>
        <w:rPr>
          <w:rFonts w:ascii="Courier New" w:hAnsi="Courier New"/>
          <w:sz w:val="17"/>
        </w:rPr>
        <w:t xml:space="preserve">§ 64e    Übergangsvorschriften zum Sechsten Gesetz zur Änderung des Gesetzes über das Kreditwesen</w:t>
      </w:r>
    </w:p>
    <w:p>
      <w:r>
        <w:rPr>
          <w:rFonts w:ascii="Courier New" w:hAnsi="Courier New"/>
          <w:sz w:val="17"/>
        </w:rPr>
        <w:t xml:space="preserve">§ 64f    Übergangsvorschriften zum Vierten Finanzmarktförderungsgesetz</w:t>
      </w:r>
    </w:p>
    <w:p>
      <w:r>
        <w:rPr>
          <w:rFonts w:ascii="Courier New" w:hAnsi="Courier New"/>
          <w:sz w:val="17"/>
        </w:rPr>
        <w:t xml:space="preserve">§ 64g    Übergangsvorschriften zum Finanzkonglomeraterichtlinie-Umsetzungsgesetz</w:t>
      </w:r>
    </w:p>
    <w:p>
      <w:r>
        <w:rPr>
          <w:rFonts w:ascii="Courier New" w:hAnsi="Courier New"/>
          <w:sz w:val="17"/>
        </w:rPr>
        <w:t xml:space="preserve">§ 64h    Übergangsvorschriften zum Gesetz zur Umsetzung der neu gefassten Bankenrichtlinie und der neu gefassten Kapitaladäquanzrichtlinie</w:t>
      </w:r>
    </w:p>
    <w:p>
      <w:r>
        <w:rPr>
          <w:rFonts w:ascii="Courier New" w:hAnsi="Courier New"/>
          <w:sz w:val="17"/>
        </w:rPr>
        <w:t xml:space="preserve">§ 64i    Übergangsvorschriften zum Finanzmarktrichtlinie-Umsetzungsgesetz</w:t>
      </w:r>
    </w:p>
    <w:p>
      <w:r>
        <w:rPr>
          <w:rFonts w:ascii="Courier New" w:hAnsi="Courier New"/>
          <w:sz w:val="17"/>
        </w:rPr>
        <w:t xml:space="preserve">§ 64j    Übergangsvorschriften zum Jahressteuergesetz 2009</w:t>
      </w:r>
    </w:p>
    <w:p>
      <w:r>
        <w:rPr>
          <w:rFonts w:ascii="Courier New" w:hAnsi="Courier New"/>
          <w:sz w:val="17"/>
        </w:rPr>
        <w:t xml:space="preserve">§ 64k    Übergangsvorschrift zum Gesetz zur Umsetzung der Beteiligungsrichtlinie</w:t>
      </w:r>
    </w:p>
    <w:p>
      <w:r>
        <w:rPr>
          <w:rFonts w:ascii="Courier New" w:hAnsi="Courier New"/>
          <w:sz w:val="17"/>
        </w:rPr>
        <w:t xml:space="preserve">§ 64l    Übergangsvorschrift zur Erlaubnis für die Anlageverwaltung</w:t>
      </w:r>
    </w:p>
    <w:p>
      <w:r>
        <w:rPr>
          <w:rFonts w:ascii="Courier New" w:hAnsi="Courier New"/>
          <w:sz w:val="17"/>
        </w:rPr>
        <w:t xml:space="preserve">§ 64m    Übergangsvorschrift zum Brexit-Steuerbegleitgesetz</w:t>
      </w:r>
    </w:p>
    <w:p>
      <w:r>
        <w:rPr>
          <w:rFonts w:ascii="Courier New" w:hAnsi="Courier New"/>
          <w:sz w:val="17"/>
        </w:rPr>
        <w:t xml:space="preserve">§ 64n    Übergangsvorschrift zum Gesetz zur Novellierung des Finanzanlagenvermittler- und Vermögensanlagenrechts</w:t>
      </w:r>
    </w:p>
    <w:p>
      <w:r>
        <w:rPr>
          <w:rFonts w:ascii="Courier New" w:hAnsi="Courier New"/>
          <w:sz w:val="17"/>
        </w:rPr>
        <w:t xml:space="preserve">§ 64o    Übergangsvorschriften zum EMIR-Ausführungsgesetz</w:t>
      </w:r>
    </w:p>
    <w:p>
      <w:r>
        <w:rPr>
          <w:rFonts w:ascii="Courier New" w:hAnsi="Courier New"/>
          <w:sz w:val="17"/>
        </w:rPr>
        <w:t xml:space="preserve">§ 64p    Übergangsvorschrift zum Hochfrequenzhandelsgesetz</w:t>
      </w:r>
    </w:p>
    <w:p>
      <w:r>
        <w:rPr>
          <w:rFonts w:ascii="Courier New" w:hAnsi="Courier New"/>
          <w:sz w:val="17"/>
        </w:rPr>
        <w:t xml:space="preserve">§ 64q    Übergangsvorschrift zum AIFM-Umsetzungsgesetz</w:t>
      </w:r>
    </w:p>
    <w:p>
      <w:r>
        <w:rPr>
          <w:rFonts w:ascii="Courier New" w:hAnsi="Courier New"/>
          <w:sz w:val="17"/>
        </w:rPr>
        <w:t xml:space="preserve">§ 64r    Übergangsvorschriften zum CRD IV-Umsetzungsgesetz</w:t>
      </w:r>
    </w:p>
    <w:p>
      <w:r>
        <w:rPr>
          <w:rFonts w:ascii="Courier New" w:hAnsi="Courier New"/>
          <w:sz w:val="17"/>
        </w:rPr>
        <w:t xml:space="preserve">§ 64s    (weggefallen)</w:t>
      </w:r>
    </w:p>
    <w:p>
      <w:r>
        <w:rPr>
          <w:rFonts w:ascii="Courier New" w:hAnsi="Courier New"/>
          <w:sz w:val="17"/>
        </w:rPr>
        <w:t xml:space="preserve">§ 64t    (weggefallen)</w:t>
      </w:r>
    </w:p>
    <w:p>
      <w:r>
        <w:rPr>
          <w:rFonts w:ascii="Courier New" w:hAnsi="Courier New"/>
          <w:sz w:val="17"/>
        </w:rPr>
        <w:t xml:space="preserve">§ 64u    (weggefallen)</w:t>
      </w:r>
    </w:p>
    <w:p>
      <w:r>
        <w:rPr>
          <w:rFonts w:ascii="Courier New" w:hAnsi="Courier New"/>
          <w:sz w:val="17"/>
        </w:rPr>
        <w:t xml:space="preserve">§ 64v    Übergangsvorschriften zum Ersten Finanzmarktnovellierungsgesetz</w:t>
      </w:r>
    </w:p>
    <w:p>
      <w:r>
        <w:rPr>
          <w:rFonts w:ascii="Courier New" w:hAnsi="Courier New"/>
          <w:sz w:val="17"/>
        </w:rPr>
        <w:t xml:space="preserve">§ 64w    (weggefallen)</w:t>
      </w:r>
    </w:p>
    <w:p>
      <w:r>
        <w:rPr>
          <w:rFonts w:ascii="Courier New" w:hAnsi="Courier New"/>
          <w:sz w:val="17"/>
        </w:rPr>
        <w:t xml:space="preserve">§ 64x    Übergangsvorschrift zum Zweiten Finanzmarktnovellierungsgesetz</w:t>
      </w:r>
    </w:p>
    <w:p>
      <w:r>
        <w:rPr>
          <w:rFonts w:ascii="Courier New" w:hAnsi="Courier New"/>
          <w:sz w:val="17"/>
        </w:rPr>
        <w:t xml:space="preserve">§ 64y    (weggefallen)</w:t>
      </w:r>
    </w:p>
    <w:p>
      <w:r>
        <w:rPr>
          <w:rFonts w:ascii="Courier New" w:hAnsi="Courier New"/>
          <w:sz w:val="17"/>
        </w:rPr>
        <w:t xml:space="preserve">§ 65    Übergangsvorschrift zum Gesetz zur Einführung von elektronischen Wertpapieren</w:t>
      </w:r>
    </w:p>
    <w:p>
      <w:r>
        <w:rPr>
          <w:rFonts w:ascii="Courier New" w:hAnsi="Courier New"/>
          <w:sz w:val="17"/>
        </w:rPr>
        <w:t xml:space="preserve">§ 65a    Übergangsvorschrift zum Finanzmarktdigitalisierungsgesetz</w:t>
      </w:r>
    </w:p>
    <w:p>
      <w:r>
        <w:rPr>
          <w:color w:val="555555"/>
          <w:sz w:val="17"/>
        </w:rPr>
        <w:t xml:space="preserve">Zitiervorschlag: Inhaltsübersicht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KredWG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