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7a KredWG — Zusammenarbeit mit der Europäischen Kommission</w:t>
      </w:r>
    </w:p>
    <w:p>
      <w:r>
        <w:rPr>
          <w:color w:val="555555"/>
          <w:sz w:val="18"/>
        </w:rPr>
        <w:t xml:space="preserve">Kreditwesengesetz</w:t>
      </w:r>
    </w:p>
    <w:p>
      <w:r>
        <w:rPr>
          <w:color w:val="555555"/>
          <w:sz w:val="18"/>
        </w:rPr>
        <w:t xml:space="preserve">Stand: 26.06.2021 (konsolidierte Textfassung, kein amtliches Inkrafttretensdatum)</w:t>
      </w:r>
    </w:p>
    <w:p>
      <w:r>
        <w:t xml:space="preserve">(1) Die Bundesanstalt meldet der Europäischen Kommission</w:t>
      </w:r>
    </w:p>
    <w:p>
      <w:pPr>
        <w:ind w:left="420"/>
      </w:pPr>
      <w:r>
        <w:t xml:space="preserve">1. das Erlöschen oder die Aufhebung einer Erlaubnis nach § 35 oder nach den Vorschriften des Verwaltungsverfahrensgesetzes unter Angabe der Gründe, die zur Aufhebung führten,</w:t>
      </w:r>
    </w:p>
    <w:p>
      <w:pPr>
        <w:ind w:left="420"/>
      </w:pPr>
      <w:r>
        <w:t xml:space="preserve">2. (weggefallen)</w:t>
      </w:r>
    </w:p>
    <w:p>
      <w:pPr>
        <w:ind w:left="420"/>
      </w:pPr>
      <w:r>
        <w:t xml:space="preserve">3. die Anzahl und die Art der Fälle, in denen die Errichtung einer Zweigniederlassung in einem anderen Staat des Europäischen Wirtschaftsraums nicht zustande gekommen ist, weil die Bundesanstalt die Angaben nach § 24a Absatz 1 Satz 2 nicht an die zuständigen Stellen des Aufnahmemitgliedstaates weitergeleitet hat,</w:t>
      </w:r>
    </w:p>
    <w:p>
      <w:pPr>
        <w:ind w:left="420"/>
      </w:pPr>
      <w:r>
        <w:t xml:space="preserve">4. die Anzahl und Art der Fälle, in denen Maßnahmen nach § 53b Absatz 4 Satz 2 und Absatz 5 Satz 1 ergriffen wurden, und</w:t>
      </w:r>
    </w:p>
    <w:p>
      <w:pPr>
        <w:ind w:left="420"/>
      </w:pPr>
      <w:r>
        <w:t xml:space="preserve">5. (weggefallen)</w:t>
      </w:r>
    </w:p>
    <w:p>
      <w:pPr>
        <w:ind w:left="420"/>
      </w:pPr>
      <w:r>
        <w:t xml:space="preserve">6. den Erlaubnisantrag des Tochterunternehmens eines Unternehmens mit Sitz in einem Drittstaat, sofern die Kommission die Meldung solcher Antragseingänge verlangt hat.</w:t>
      </w:r>
    </w:p>
    <w:p>
      <w:r>
        <w:t xml:space="preserve">(2) Die Bundesanstalt unterrichtet die Europäische Kommission über</w:t>
      </w:r>
    </w:p>
    <w:p>
      <w:pPr>
        <w:ind w:left="420"/>
      </w:pPr>
      <w:r>
        <w:t xml:space="preserve">1. (weggefallen)</w:t>
      </w:r>
    </w:p>
    <w:p>
      <w:pPr>
        <w:ind w:left="420"/>
      </w:pPr>
      <w:r>
        <w:t xml:space="preserve">2. die Grundsätze, die sie im Einvernehmen mit den anderen zuständigen Stellen im Europäischen Wirtschaftsraum in Bezug auf die Überwachung von gruppeninternen Transaktionen und Risikokonzentrationen anwendet,</w:t>
      </w:r>
    </w:p>
    <w:p>
      <w:pPr>
        <w:ind w:left="420"/>
      </w:pPr>
      <w:r>
        <w:t xml:space="preserve">3. die gewählte Vorgehensweise in den Fällen des § 53d Absatz 3 und</w:t>
      </w:r>
    </w:p>
    <w:p>
      <w:pPr>
        <w:ind w:left="420"/>
      </w:pPr>
      <w:r>
        <w:t xml:space="preserve">4. (weggefallen)</w:t>
      </w:r>
    </w:p>
    <w:p>
      <w:pPr>
        <w:ind w:left="420"/>
      </w:pPr>
      <w:r>
        <w:t xml:space="preserve">5. das Verfahren zur Vermeidung der Umgehung der zusätzlichen Kapitalanforderungen bei Überschreitung der Gesamtbuch-Großkreditanforderungen.</w:t>
      </w:r>
    </w:p>
    <w:p>
      <w:r>
        <w:t xml:space="preserve">(3) Die Bundesanstalt übermittelt der Europäischen Kommission Verzeichnisse der Finanzholding-Gesellschaften oder gemischten Finanzholding-Gesellschaften, bei denen die Bundesanstalt die Aufsicht auf zusammengefasster Basis ausübt.</w:t>
      </w:r>
    </w:p>
    <w:p>
      <w:r>
        <w:rPr>
          <w:color w:val="555555"/>
          <w:sz w:val="17"/>
        </w:rPr>
        <w:t xml:space="preserve">Zitiervorschlag: § 7a KredWG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https://recht.nulegal.eu/gesetze/KredWG/7a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