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6d KredWG — Eigenmittelempfehlung</w:t>
      </w:r>
    </w:p>
    <w:p>
      <w:r>
        <w:rPr>
          <w:color w:val="555555"/>
          <w:sz w:val="18"/>
        </w:rPr>
        <w:t xml:space="preserve">Kreditwesengesetz</w:t>
      </w:r>
    </w:p>
    <w:p>
      <w:r>
        <w:rPr>
          <w:color w:val="555555"/>
          <w:sz w:val="18"/>
        </w:rPr>
        <w:t xml:space="preserve">Stand: 10.04.2026 (konsolidierte Textfassung, kein amtliches Inkrafttretensdatum)</w:t>
      </w:r>
    </w:p>
    <w:p>
      <w:r>
        <w:t xml:space="preserve">(1) Die Aufsichtsbehörde ermittelt auf Grundlage der Bewertung nach § 6b Absatz 2 und des nach § 6b Absatz 3 durchgeführten Stresstests für jedes Institut, jede Institutsgruppe, jede Finanzholding-Gruppe und jede gemischte Finanzholding-Gruppe die angemessene Gesamthöhe der Eigenmittel und spricht auf dieser Grundlage gegenüber dem Institut, der Institutsgruppe, der Finanzholding-Gruppe oder der gemischten Finanzholding-Gruppe eine Eigenmittelempfehlung aus. Die Höhe dieser Eigenmittelempfehlung ergibt sich aus der Differenz der vom Institut, von der Institutsgruppe, der Finanzholding-Gruppe oder der gemischten Finanzholding-Gruppe einzuhaltenden Eigenmittelanforderungen gemäß den Teilen 3, 4 und 7 der Verordnung (EU) Nr. 575/2013, Kapitel 2 der Verordnung (EU) 2017/2402, den §§ 6c, 10i und Artikel 92 Absatz 1a der Verordnung (EU) Nr. 575/2013 und der nach Satz 1 ermittelten angemessenen Gesamthöhe der Eigenmittel.</w:t>
      </w:r>
    </w:p>
    <w:p>
      <w:r>
        <w:t xml:space="preserve">(1a) Unterliegt ein Institut, eine Institutsgruppe, eine Finanzholding-Gruppe oder eine gemischte Finanzholding-Gruppe der Output-Floor-Eigenmitteluntergrenze, so kann die Aufsichtsbehörde ihre Leitlinien für zusätzliche Eigenmittel überprüfen, die sie diesem Institut, dieser Institutsgruppe, dieser Finanzholding-Gruppe oder dieser gemischten Finanzholding-Gruppe mitgeteilt hat, um sicherzustellen, dass die Kalibrierung weiterhin angemessen ist.</w:t>
      </w:r>
    </w:p>
    <w:p>
      <w:r>
        <w:t xml:space="preserve">(2) Die Eigenmittelempfehlung darf Risiken, die durch die nach § 6c Absatz 1 angeordnete zusätzliche Eigenmittelanforderung erfasst werden, nur insoweit abdecken, als sie Aspekte dieser Risiken abdeckt, die nicht bereits durch die zusätzliche Eigenmittelanforderung nach § 6c Absatz 1 abgedeckt werden.</w:t>
      </w:r>
    </w:p>
    <w:p>
      <w:r>
        <w:t xml:space="preserve">(3) Eigenmittel, die zur Einhaltung der Eigenmittelempfehlung eingesetzt werden, um das Risiko einer übermäßigen Verschuldung abzudecken, dürfen nicht zur Erfüllung der zusätzlichen Eigenmittelanforderungen nach § 6c, die angeordnet wurden, um das Risiko einer übermäßigen Verschuldung abzudecken, verwendet werden und auch nicht zur Erfüllung der in § 6c Absatz 6 Satz 1 Nummer 1 bis 4 aufgezählten Anforderungen. Eigenmittel, die zur Einhaltung der Eigenmittelempfehlungen eingesetzt werden, um sonstige Risiken abzudecken, dürfen nicht zur Erfüllung der zusätzlichen Eigenmittelanforderungen nach § 6c, die angeordnet wurden, um andere Risiken als das Risiko einer übermäßigen Verschuldung abzudecken, verwendet werden und auch nicht zur Erfüllung der in § 6c Absatz 6 Satz 2 Nummer 1 bis 4 aufgezählten Anforderungen.</w:t>
      </w:r>
    </w:p>
    <w:p>
      <w:r>
        <w:t xml:space="preserve">(4) Solange ein Institut, eine Institutsgruppe, eine Finanzholding-Gruppe oder eine gemischte Finanzholding-Gruppe die in den Teilen 3, 4 und 7 der Verordnung (EU) Nr. 575/2013 und in Kapitel 2 der Verordnung (EU) 2017/2402 festgelegten Anforderungen, die zusätzliche Eigenmittelanforderung nach § 6c, die kombinierte Kapitalpufferanforderung nach § 10i und die Anforderung an den Puffer der Verschuldungsquote nach Artikel 92 Absatz 1a der Verordnung (EU) Nr. 575/2013 erfüllt, löst die Abdeckung der Eigenmittelempfehlung nicht in voller Höhe keine der Beschränkungen nach § 10i Absatz 1a bis 3 und § 10j Absatz 2 und 3 aus.</w:t>
      </w:r>
    </w:p>
    <w:p>
      <w:r>
        <w:rPr>
          <w:color w:val="555555"/>
          <w:sz w:val="17"/>
        </w:rPr>
        <w:t xml:space="preserve">Zitiervorschlag: § 6d KredWG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https://recht.nulegal.eu/gesetze/KredWG/6d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