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6c KredWG — Zusätzliche Eigenmittelanforderungen</w:t>
      </w:r>
    </w:p>
    <w:p>
      <w:r>
        <w:rPr>
          <w:color w:val="555555"/>
          <w:sz w:val="18"/>
        </w:rPr>
        <w:t xml:space="preserve">Kreditwesengesetz</w:t>
      </w:r>
    </w:p>
    <w:p>
      <w:r>
        <w:rPr>
          <w:color w:val="555555"/>
          <w:sz w:val="18"/>
        </w:rPr>
        <w:t xml:space="preserve">Stand: 10.04.2026 (konsolidierte Textfassung, kein amtliches Inkrafttretensdatum)</w:t>
      </w:r>
    </w:p>
    <w:p>
      <w:r>
        <w:t xml:space="preserve">(1) Die Aufsichtsbehörde ordnet an, dass ein Institut, eine Institutsgruppe, eine Finanzholding-Gruppe oder eine gemischte Finanzholding-Gruppe über die Anforderungen der Verordnung (EU) Nr. 575/2013 hinaus zusätzliche Eigenmittel vorhalten muss, wenn sie im Rahmen des aufsichtlichen Überprüfungs- und Beurteilungsverfahrens nach § 6b und der nach § 10 Absatz 1 erlassenen Rechtsverordnung feststellt, dass</w:t>
      </w:r>
    </w:p>
    <w:p>
      <w:pPr>
        <w:ind w:left="420"/>
      </w:pPr>
      <w:r>
        <w:t xml:space="preserve">1. Risiken oder Risikoelemente nicht oder nicht ausreichend durch die Eigenmittelanforderungen nach den Teilen 3, 4 und 7 der Verordnung (EU) Nr. 575/2013 und nach Kapitel 2 der Verordnung (EU) 2017/2402 sowie nach der Rechtsverordnung nach § 10 Absatz 1 abgedeckt sind,</w:t>
      </w:r>
    </w:p>
    <w:p>
      <w:pPr>
        <w:ind w:left="420"/>
      </w:pPr>
      <w:r>
        <w:t xml:space="preserve">2. die Risikotragfähigkeit nicht gewährleistet ist oder die in Artikel 393 der Verordnung (EU) Nr. 575/2013 festgelegten Anforderungen zur Ermittlung und Steuerung von Großkrediten nicht eingehalten werden und es unwahrscheinlich ist, dass andere Aufsichtsmaßnahmen ausreichen, um sicherzustellen, dass diese Anforderungen innerhalb eines angemessenen Zeitraums erfüllt werden können,</w:t>
      </w:r>
    </w:p>
    <w:p>
      <w:pPr>
        <w:ind w:left="420"/>
      </w:pPr>
      <w:r>
        <w:t xml:space="preserve">3. die auf Grund von Artikel 105 der Verordnung (EU) Nr. 575/2013 vorgenommenen Bewertungskorrekturen wahrscheinlich nicht ausreichen, um die Positionen des Handelsbuchs unter normalen Marktbedingungen kurzfristig ohne wesentlichen Verlust veräußern oder absichern zu können,</w:t>
      </w:r>
    </w:p>
    <w:p>
      <w:pPr>
        <w:ind w:left="420"/>
      </w:pPr>
      <w:r>
        <w:t xml:space="preserve">4. die Anforderungen für die Anwendung des genehmigten internen Ansatzes nicht erfüllt werden und dies wahrscheinlich zu einer unzureichenden Eigenmittelausstattung führt,</w:t>
      </w:r>
    </w:p>
    <w:p>
      <w:pPr>
        <w:ind w:left="420"/>
      </w:pPr>
      <w:r>
        <w:t xml:space="preserve">5. das Institut, die Institutsgruppe, die Finanzholding-Gruppe oder die gemischte Finanzholding-Gruppe wiederholt keine zusätzlichen Eigenmittel in angemessener Höhe bildet oder beibehält, um der Eigenmittelempfehlung nach § 6d zu entsprechen, oder</w:t>
      </w:r>
    </w:p>
    <w:p>
      <w:pPr>
        <w:ind w:left="420"/>
      </w:pPr>
      <w:r>
        <w:t xml:space="preserve">6. andere institutsspezifische Situationen vorliegen, die zu wesentlichen aufsichtlichen Bedenken führen.</w:t>
      </w:r>
    </w:p>
    <w:p>
      <w:r>
        <w:t xml:space="preserve">Die zusätzliche Eigenmittelanforderung nach Satz 1 darf nur für die Zwecke der Deckung der Risiken angeordnet werden, die sich aus der Geschäftstätigkeit des einzelnen Instituts ergeben. Dies schließt die Auswirkungen bestimmter Wirtschafts- und Marktentwicklungen nur ein, wenn sie sich im Risikoprofil des Instituts widerspiegeln.</w:t>
      </w:r>
    </w:p>
    <w:p>
      <w:r>
        <w:t xml:space="preserve">(2) Das Vorhalten zusätzlicher Eigenmittel auf Grund einer Feststellung nach Absatz 1 Satz 1 Nummer 1 kann nur angeordnet werden, wenn die Beträge, die Arten und die Verteilung des Kapitals, die die Aufsichtsbehörde unter Berücksichtigung der aufsichtlichen Überprüfung der Verfahren zur Ermittlung und Sicherstellung der Risikotragfähigkeit als angemessen betrachtet, über die in den Teilen 3, 4 und 7 der Verordnung (EU) Nr. 575/2013 und in Kapitel 2 der Verordnung (EU) 2017/2402 festgelegten Eigenmittelanforderungen hinausgehen. Die Aufsichtsbehörde bewertet dazu insbesondere auch</w:t>
      </w:r>
    </w:p>
    <w:p>
      <w:pPr>
        <w:ind w:left="420"/>
      </w:pPr>
      <w:r>
        <w:t xml:space="preserve">1. die institutsspezifischen Risiken oder Risikoelemente, die von den in den Teilen 3, 4 und 7 der Verordnung (EU) Nr. 575/2013 und in Kapitel 2 der Verordnung (EU) 2017/2402 festgelegten Eigenmittelanforderungen ausdrücklich ausgenommen oder von diesen nicht erfasst werden,</w:t>
      </w:r>
    </w:p>
    <w:p>
      <w:pPr>
        <w:ind w:left="420"/>
      </w:pPr>
      <w:r>
        <w:t xml:space="preserve">2. die institutsspezifischen Risiken oder Risikoelemente, die trotz Erfüllung der in den Teilen 3, 4 und 7 der Verordnung (EU) Nr. 575/2013 und in Kapitel 2 der Verordnung (EU) 2017/2402 festgelegten Anforderungen wahrscheinlich unterschätzt werden,</w:t>
      </w:r>
    </w:p>
    <w:p>
      <w:pPr>
        <w:ind w:left="420"/>
      </w:pPr>
      <w:r>
        <w:t xml:space="preserve">3. die wesentlichen Zinsänderungsrisiken aus Positionen des Anlagebuchs gemäß Absatz 3.</w:t>
      </w:r>
    </w:p>
    <w:p>
      <w:r>
        <w:t xml:space="preserve">Bei Risiken und Risikoelementen, die den Übergangsregelungen oder Bestandsschutzklauseln gemäß der Richtlinie 2013/36/EU oder der Verordnung (EU) Nr. 575/2013 unterliegen, ist grundsätzlich keine Unterschätzung der Risiken oder Risikoelemente gegeben. Für die Zwecke des Satzes 1 deckt das als angemessen betrachtete Kapital alle gemäß Satz 2 als wesentlich ermittelten Risiken oder Risikoelemente ab, die nicht oder nicht ausreichend von den in den Teilen 3, 4 und 7 der Verordnung (EU) Nr. 575/2013 und in Kapitel 2 der Verordnung (EU) 2017/2402 festgelegten Eigenmittelanforderungen abgedeckt sind.</w:t>
      </w:r>
    </w:p>
    <w:p>
      <w:r>
        <w:t xml:space="preserve">(2a) Unterliegt ein Institut, eine Institutsgruppe, eine Finanzholding-Gruppe oder eine gemischte Finanzholding-Gruppe der Output-Floor-Eigenmitteluntergrenze,</w:t>
      </w:r>
    </w:p>
    <w:p>
      <w:pPr>
        <w:ind w:left="420"/>
      </w:pPr>
      <w:r>
        <w:t xml:space="preserve">1. darf sich der Nominalbetrag der zusätzlichen Eigenmittel, die von der Aufsichtsbehörde nach Absatz 1 und 2 verlangt werden, um andere Risiken als das Risiko einer übermäßigen Verschuldung zu bewältigen, dadurch nicht erhöhen und</w:t>
      </w:r>
    </w:p>
    <w:p>
      <w:pPr>
        <w:ind w:left="420"/>
      </w:pPr>
      <w:r>
        <w:t xml:space="preserve">2. überprüft die Aufsichtsbehörde unverzüglich, in jedem Fall jedoch spätestens bis zum Enddatum des aufsichtlichen Überprüfungs- und Beurteilungsverfahrens, die nach Absatz 1 und 2 verlangten zusätzlichen Eigenmittel und streicht Teile davon, wenn Risiken, die bereits vollständig abgedeckt sind, da das Institut der Output-Floor-Eigenmitteluntergrenze unterliegt, andernfalls doppelt berücksichtigt würden.</w:t>
      </w:r>
    </w:p>
    <w:p>
      <w:r>
        <w:t xml:space="preserve">Sobald die Aufsichtsbehörde die Überprüfung nach Nummer 2 abgeschlossen hat, findet Nummer 1 keine Anwendung mehr.</w:t>
      </w:r>
    </w:p>
    <w:p>
      <w:r>
        <w:t xml:space="preserve">(2b) Solange ein Institut, eine Institutsgruppe, eine Finanzholding-Gruppe oder eine gemischte Finanzholding-Gruppe der Output-Floor-Eigenmitteluntergrenze unterliegt, schreibt die Aufsichtsbehörde für die Zwecke des Absatzes 1 keine zusätzliche Eigenmittelanforderung vor, wenn dadurch Risiken, die bereits vollständig dadurch abgedeckt sind, dass das Institut der Output-Floor-Eigenmitteluntergrenze unterliegt, doppelt berücksichtigt würden.</w:t>
      </w:r>
    </w:p>
    <w:p>
      <w:r>
        <w:t xml:space="preserve">(3) Zinsänderungsrisiken aus Positionen des Anlagebuchs können insbesondere als wesentlich gelten, wenn</w:t>
      </w:r>
    </w:p>
    <w:p>
      <w:pPr>
        <w:ind w:left="420"/>
      </w:pPr>
      <w:r>
        <w:t xml:space="preserve">1. sich der Barwert eines Instituts auf Grund einer plötzlichen und unerwarteten Zinsänderung, wie sie sich aus einem der sechs aufsichtlichen Zinsschockszenarien ergibt, um mehr als 15 Prozent seines Kernkapitals verringert oder</w:t>
      </w:r>
    </w:p>
    <w:p>
      <w:pPr>
        <w:ind w:left="420"/>
      </w:pPr>
      <w:r>
        <w:t xml:space="preserve">2. der Nettozinsertrag eines Instituts auf Grund einer plötzlichen und unerwarteten Zinsänderung, wie sie sich aus einem der zwei aufsichtlichen Zinsschockszenarien ergibt, stark rückläufig ist.</w:t>
      </w:r>
    </w:p>
    <w:p>
      <w:r>
        <w:t xml:space="preserve">Wenn die Aufsichtsbehörde im Rahmen des Überprüfungs- und Beurteilungsverfahrens nach § 6b zu dem Ergebnis kommt, dass die Steuerung des sich aus Geschäften des Anlagebuchs ergebenden Zinsänderungsrisikos durch das Institut angemessen ist und dass das Institut diesem Zinsänderungsrisiko nicht übermäßig ausgesetzt ist, werden diese Risiken als nicht wesentlich betrachtet.</w:t>
      </w:r>
    </w:p>
    <w:p>
      <w:r>
        <w:t xml:space="preserve">(4) Die Höhe der zusätzlichen Eigenmittelanforderungen, die zur Abdeckung des Risikos einer übermäßigen Verschuldung angeordnet sind, das nicht ausreichend durch Artikel 92 Absatz 1 Buchstabe d der Verordnung (EU) Nr. 575/2013 abgedeckt ist, richtet sich nach der Differenz zwischen dem nach Absatz 2 als angemessen betrachteten Kapital und den in den Teilen 3 und 7 der Verordnung (EU) Nr. 575/2013 festgelegten Eigenmittelanforderungen; Absatz 2 Satz 2 Nummer 3 findet keine Anwendung. In allen anderen Fällen richtet sich die Höhe der zusätzlichen Eigenmittelanforderung nach der Differenz zwischen dem nach Absatz 2 als angemessen betrachteten Kapital und den in den Teilen 3 und 4 der Verordnung (EU) Nr. 575/2013 und in Kapitel 2 der Verordnung (EU) 2017/2402 festgelegten Eigenmittelanforderungen.</w:t>
      </w:r>
    </w:p>
    <w:p>
      <w:r>
        <w:t xml:space="preserve">(5) Das Institut, die Institutsgruppe, die Finanzholding-Gruppe oder die gemischte Finanzholding-Gruppe hat die zusätzliche Eigenmittelanforderung, um andere Risiken als das Risiko einer übermäßigen Verschuldung abzudecken, zu mindestens drei Vierteln mit Kernkapital zu erfüllen. Das Kernkapital nach Satz 1 muss zu mindestens drei Vierteln aus hartem Kernkapital bestehen. Das Institut, die Institutsgruppe, die Finanzholding-Gruppe oder die gemischte Finanzholding-Gruppe hat die zusätzliche Eigenmittelanforderung, um das Risiko einer übermäßigen Verschuldung abzudecken, mit Kernkapital zu erfüllen. Die Aufsichtsbehörde kann gegenüber dem Institut anordnen, dass die zusätzliche Eigenmittelanforderung mit einem höheren Anteil an Kernkapital oder hartem Kernkapital zu erfüllen ist, soweit dies unter Berücksichtigung der Situation des Instituts erforderlich ist.</w:t>
      </w:r>
    </w:p>
    <w:p>
      <w:r>
        <w:t xml:space="preserve">(6) Die Eigenmittel, die zur Erfüllung der zusätzlichen Eigenmittelanforderung eingesetzt werden, um das Risiko einer übermäßigen Verschuldung abzudecken, das nicht ausreichend durch Artikel 92 Absatz 1 Buchstabe d der Verordnung (EU) Nr. 575/2013 abgedeckt ist, dürfen nicht zur Erfüllung einer der folgenden Anforderungen eingesetzt werden:</w:t>
      </w:r>
    </w:p>
    <w:p>
      <w:pPr>
        <w:ind w:left="420"/>
      </w:pPr>
      <w:r>
        <w:t xml:space="preserve">1. der in Artikel 92 Absatz 1 Buchstabe d der Verordnung (EU) Nr. 575/2013 festgelegten Eigenmittelanforderung,</w:t>
      </w:r>
    </w:p>
    <w:p>
      <w:pPr>
        <w:ind w:left="420"/>
      </w:pPr>
      <w:r>
        <w:t xml:space="preserve">2. der erhöhten Eigenmittelanforderungen zur Abdeckung von Risiken und Risikoelementen nach § 10 Absatz 3, die nicht von Artikel 1 der Verordnung (EU) Nr. 575/2013 abgedeckt sind,</w:t>
      </w:r>
    </w:p>
    <w:p>
      <w:pPr>
        <w:ind w:left="420"/>
      </w:pPr>
      <w:r>
        <w:t xml:space="preserve">3. der erhöhten Eigenmittelanforderungen nach § 10 Absatz 4,</w:t>
      </w:r>
    </w:p>
    <w:p>
      <w:pPr>
        <w:ind w:left="420"/>
      </w:pPr>
      <w:r>
        <w:t xml:space="preserve">4. der in Artikel 92 Absatz 1a der Verordnung (EU) Nr. 575/2013 festgelegten Anforderung an den Puffer der Verschuldungsquote,</w:t>
      </w:r>
    </w:p>
    <w:p>
      <w:pPr>
        <w:ind w:left="420"/>
      </w:pPr>
      <w:r>
        <w:t xml:space="preserve">5. der Eigenmittelempfehlung nach § 6d, sofern sich diese Empfehlung auf die Risiken einer übermäßigen Verschuldung bezieht.</w:t>
      </w:r>
    </w:p>
    <w:p>
      <w:r>
        <w:t xml:space="preserve">Die Eigenmittel, die zur Erfüllung der zusätzlichen Eigenmittelanforderung für sonstige Risiken eingesetzt werden, dürfen nicht zur Erfüllung einer der folgenden Anforderungen eingesetzt werden:</w:t>
      </w:r>
    </w:p>
    <w:p>
      <w:pPr>
        <w:ind w:left="420"/>
      </w:pPr>
      <w:r>
        <w:t xml:space="preserve">1. der in Artikel 92 Absatz 1 Buchstabe a, b und c der Verordnung (EU) Nr. 575/2013 festgelegten Eigenmittelanforderungen,</w:t>
      </w:r>
    </w:p>
    <w:p>
      <w:pPr>
        <w:ind w:left="420"/>
      </w:pPr>
      <w:r>
        <w:t xml:space="preserve">2. der erhöhten Eigenmittelanforderungen zur Absicherung von Risiken und Risikoelementen nach § 10 Absatz 3, die nicht von Artikel 1 der Verordnung (EU) Nr. 575/2013 abgedeckt sind,</w:t>
      </w:r>
    </w:p>
    <w:p>
      <w:pPr>
        <w:ind w:left="420"/>
      </w:pPr>
      <w:r>
        <w:t xml:space="preserve">3. der erhöhten Eigenmittelanforderungen nach § 10 Absatz 4,</w:t>
      </w:r>
    </w:p>
    <w:p>
      <w:pPr>
        <w:ind w:left="420"/>
      </w:pPr>
      <w:r>
        <w:t xml:space="preserve">4. der Kapitalpufferanforderungen nach den §§ 10c bis 10g,</w:t>
      </w:r>
    </w:p>
    <w:p>
      <w:pPr>
        <w:ind w:left="420"/>
      </w:pPr>
      <w:r>
        <w:t xml:space="preserve">5. der Eigenmittelempfehlung nach § 6d, sofern sich diese Empfehlung auf andere Risiken als das Risiko einer übermäßigen Verschuldung bezieht.</w:t>
      </w:r>
    </w:p>
    <w:p>
      <w:r>
        <w:rPr>
          <w:color w:val="555555"/>
          <w:sz w:val="17"/>
        </w:rPr>
        <w:t xml:space="preserve">Zitiervorschlag: § 6c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