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65a KredWG — Übergangsvorschrift zum Finanzmarktdigitalisierungsgesetz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Für ein Institut, das am 29. Dezember 2024 über eine Erlaubnis zur Erbringung des Kryptoverwahrgeschäftes im Sinne des § 1 Absatz 1a Satz 2 Nummer 6 verfügt, gilt die Erlaubnis für die Erbringung des qualifizierten Kryptoverwahrgeschäftes im Sinne des § 1 Absatz 1a Satz 2 Nummer 6 in der Fassung vom 30. Dezember 2024 als erteilt.</w:t>
      </w:r>
    </w:p>
    <w:p>
      <w:r>
        <w:t xml:space="preserve">(2) § 29 Absatz 1 Satz 2 Nummer 2 Buchstabe m ist erstmals anzuwenden auf Rechnungslegungsunterlagen für ein nach dem 31. Dezember 2024 beginnendes Geschäftsjahr.</w:t>
      </w:r>
    </w:p>
    <w:p>
      <w:r>
        <w:t xml:space="preserve">(3) § 1a Absatz 2a ist ab dem 1. Januar 2027 anzuwenden. Die Anforderungen an das Meldewesen nach Kapitel III der Verordnung (EU) 2022/2554 sind ab dem 17. Januar 2025 anzuwenden.</w:t>
      </w:r>
    </w:p>
    <w:p>
      <w:r>
        <w:rPr>
          <w:color w:val="555555"/>
          <w:sz w:val="17"/>
        </w:rPr>
        <w:t xml:space="preserve">Zitiervorschlag: § 65a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