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KredWG — Übergangsvorschrift zum Gesetz zur Einführung von elektronischen Wertpapieren</w:t>
      </w:r>
    </w:p>
    <w:p>
      <w:r>
        <w:rPr>
          <w:color w:val="555555"/>
          <w:sz w:val="18"/>
        </w:rPr>
        <w:t xml:space="preserve">Kreditwesengesetz</w:t>
      </w:r>
    </w:p>
    <w:p>
      <w:r>
        <w:rPr>
          <w:color w:val="555555"/>
          <w:sz w:val="18"/>
        </w:rPr>
        <w:t xml:space="preserve">Stand: 01.04.2026 (konsolidierte Textfassung, kein amtliches Inkrafttretensdatum)</w:t>
      </w:r>
    </w:p>
    <w:p>
      <w:r>
        <w:t xml:space="preserve">(1) Ein Unternehmen, das am 10. Juni 2021 über die Erlaubnis für den Betrieb des Kryptoverwahrgeschäftes verfügt, darf dieses Geschäft auch hinsichtlich der Sicherung von privaten kryptografischen Schlüsseln erbringen, die dazu dienen, Kryptowertpapiere nach § 4 Absatz 3 des Gesetzes über elektronische Wertpapiere zu halten, zu speichern oder darüber zu verfügen.</w:t>
      </w:r>
    </w:p>
    <w:p>
      <w:r>
        <w:t xml:space="preserve">(2) Für ein Unternehmen, das eine Tätigkeit nach § 1 Absatz 1a Satz 2 Nummer 8 innerhalb der ersten sechs Monate seit dem 10. Juni 2021 aufnimmt, gilt die Erlaubnis für die Kryptowertpapierregisterführung als vorläufig erteilt, wenn es sechs Monate nach Aufnahme der Tätigkeit einen vollständigen Erlaubnisantrag nach § 32 Absatz 1 Satz 1 und 5, auch in Verbindung mit einer Rechtsverordnung nach § 23 des Gesetzes über elektronische Wertpapiere, stellt und wenn es der Bundesanstalt die Absicht, die Tätigkeit aufzunehmen, zwei Monate vor Aufnahme der Tätigkeit schriftlich anzeigt. Die Anzeige muss die Angaben nach § 32 Absatz 1 Satz 5 Nummer 1, 2 und 5 enthalten und den Vorgaben der Verordnung nach § 24 Absatz 4 entsprechen. Die Bundesanstalt kann die Aufnahme der Tätigkeit insbesondere bei Zweifeln an der Eignung des Aufzeichnungssystems oder, wenn ihr Tatsachen bekannt werden, die eine Versagung der Erlaubnis nach § 33 Absatz 1 rechtfertigen, bis zum Abschluss des Erlaubnisverfahrens untersagen.</w:t>
      </w:r>
    </w:p>
    <w:p>
      <w:r>
        <w:rPr>
          <w:color w:val="555555"/>
          <w:sz w:val="17"/>
        </w:rPr>
        <w:t xml:space="preserve">Zitiervorschlag: § 65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