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64v KredWG — Übergangsvorschriften zum Ersten Finanzmarktnovellierungsgesetz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Tätigkeit als Zentralverwahrer kann auf Grund einer Erlaubnis für das Depotgeschäft nach § 1 Absatz 1 Satz 2 Nummer 5 bis zur Bestandskraft der Entscheidung über den Antrag auf Zulassung als Zentralverwahrer nach Artikel 17 Absatz 1 der Verordnung (EU) Nr. 909/2014 fortgeführt werden. § 2 Absatz 9e und 9f sowie § 29 Absatz 1b sind bis dahin nicht anzuwenden.</w:t>
      </w:r>
    </w:p>
    <w:p>
      <w:r>
        <w:t xml:space="preserve">(2) Ein Zentralverwahrer, der am Tag, den die Bundesregierung nach Artikel 17 Absatz 3 Satz 2 des Gesetzes vom 30. Juni 2016 (BGBl. I S. 1514) im Bundesgesetzblatt bekannt gibt, eine Erlaubnis nach § 1 Absatz 1 Satz 2 Nummer 1 oder Nummer 2 besitzt, kann die Erbringung von dadurch erlaubten Bankdienstleistungen bis zur Bestandskraft der Entscheidung über den Antrag auf Genehmigung nach Artikel 55 Absatz 1 der Verordnung (EU) Nr. 909/2014 fortführen. § 2 Absatz 9e und 9f sowie § 29 Absatz 1b sind bis dahin nicht anzuwenden.</w:t>
      </w:r>
    </w:p>
    <w:p>
      <w:r>
        <w:rPr>
          <w:color w:val="555555"/>
          <w:sz w:val="17"/>
        </w:rPr>
        <w:t xml:space="preserve">Zitiervorschlag: § 64v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https://recht.nulegal.eu/gesetze/KredWG/64v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