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64t KredWG — Übergangsvorschrift zur Verordnung (EU) Nr. 1060/2009</w:t>
      </w:r>
    </w:p>
    <w:p>
      <w:r>
        <w:rPr>
          <w:color w:val="555555"/>
          <w:sz w:val="18"/>
        </w:rPr>
        <w:t xml:space="preserve">Kreditwesengesetz</w:t>
      </w:r>
    </w:p>
    <w:p>
      <w:r>
        <w:rPr>
          <w:color w:val="555555"/>
          <w:sz w:val="18"/>
        </w:rPr>
        <w:t xml:space="preserve">Außer Kraft: § 64t ist seit 29.12.2020 nicht mehr im KredWG enthalten. Angezeigt wird die letzte bekannte Fassung, Stand 10.06.2019.</w:t>
      </w:r>
    </w:p>
    <w:p>
      <w:r>
        <w:t xml:space="preserve">§ 29 Absatz 2 Satz 4 in der ab dem 19. Dezember 2014 geltenden Fassung ist erstmals auf die Abschlussprüfung des Jahresabschlusses für das Geschäftsjahr anzuwenden, das nach dem 31. Dezember 2014 beginnt.</w:t>
      </w:r>
    </w:p>
    <w:p>
      <w:r>
        <w:rPr>
          <w:color w:val="555555"/>
          <w:sz w:val="17"/>
        </w:rPr>
        <w:t xml:space="preserve">Zitiervorschlag: § 64t KredWG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https://recht.nulegal.eu/gesetze/KredWG/64t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