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64s KredWG — Übergangsvorschrift zum Gesetz zur Abschirmung von Risiken und zur Planung der Sanierung und Abwicklung von Kreditinstituten</w:t>
      </w:r>
    </w:p>
    <w:p>
      <w:r>
        <w:rPr>
          <w:color w:val="555555"/>
          <w:sz w:val="18"/>
        </w:rPr>
        <w:t xml:space="preserve">Kreditwesengesetz</w:t>
      </w:r>
    </w:p>
    <w:p>
      <w:r>
        <w:rPr>
          <w:color w:val="555555"/>
          <w:sz w:val="18"/>
        </w:rPr>
        <w:t xml:space="preserve">Außer Kraft: § 64s ist seit 29.12.2020 nicht mehr im KredWG enthalten. Angezeigt wird die letzte bekannte Fassung, Stand 10.06.2019.</w:t>
      </w:r>
    </w:p>
    <w:p>
      <w:r>
        <w:t xml:space="preserve">(1) Für ein Unternehmen, das nach § 1 Absatz 1a Satz 3 am 1. Juli 2015 als Finanzdienstleistungsinstitut gilt, gilt die Erlaubnis ab diesem Zeitpunkt bis zur Entscheidung der Bundesanstalt als vorläufig erteilt, wenn das Unternehmen innerhalb von zwölf Monaten nach Inkrafttreten dieser Bestimmung einen vollständigen Erlaubnisantrag nach § 32 Absatz 1 Satz 1 und 2, auch in Verbindung mit einer Rechtsverordnung nach § 24 Absatz 4, stellt.</w:t>
      </w:r>
    </w:p>
    <w:p>
      <w:r>
        <w:t xml:space="preserve">(2) § 1 Absatz 1a Satz 3 und 4, § 3 Absatz 2 und 3 sowie § 25f sind erst ab dem 1. Juli 2015 anzuwenden. § 3 Absatz 4 ist erst ab dem 1. Juli 2016 anzuwenden.</w:t>
      </w:r>
    </w:p>
    <w:p>
      <w:r>
        <w:rPr>
          <w:color w:val="555555"/>
          <w:sz w:val="17"/>
        </w:rPr>
        <w:t xml:space="preserve">Zitiervorschlag: § 64s KredWG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https://recht.nulegal.eu/gesetze/KredWG/64s</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