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64r KredWG — Übergangsvorschriften zum CRD IV-Umsetzungsgesetz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(weggefallen)</w:t>
      </w:r>
    </w:p>
    <w:p>
      <w:r>
        <w:t xml:space="preserve">(6) (weggefallen)</w:t>
      </w:r>
    </w:p>
    <w:p>
      <w:r>
        <w:t xml:space="preserve">(7) (weggefallen)</w:t>
      </w:r>
    </w:p>
    <w:p>
      <w:r>
        <w:t xml:space="preserve">(8) (weggefallen)</w:t>
      </w:r>
    </w:p>
    <w:p>
      <w:r>
        <w:t xml:space="preserve">(9) (weggefallen)</w:t>
      </w:r>
    </w:p>
    <w:p>
      <w:r>
        <w:t xml:space="preserve">(10) (weggefallen)</w:t>
      </w:r>
    </w:p>
    <w:p>
      <w:r>
        <w:t xml:space="preserve">(11) (weggefallen)</w:t>
      </w:r>
    </w:p>
    <w:p>
      <w:r>
        <w:t xml:space="preserve">(12) (weggefallen)</w:t>
      </w:r>
    </w:p>
    <w:p>
      <w:r>
        <w:t xml:space="preserve">(13) § 25c Absatz 2 in der ab 1. Januar 2014 geltenden Fassung kommt, vorbehaltlich des Satzes 2, für Mandate als Geschäftsleiter und für Mandate in Verwaltungs- und Aufsichtsorganen, die der Geschäftsleiter am 31. Dezember 2013 bereits innehatte, nicht zur Anwendung. Für bedeutende Institute im Sinne des § 1 Absatz 3c gilt § 25c Absatz 2 ab dem 1. Juli 2014.</w:t>
      </w:r>
    </w:p>
    <w:p>
      <w:r>
        <w:t xml:space="preserve">(14) § 25d Absatz 3 in der ab 1. Januar 2014 geltenden Fassung kommt, vorbehaltlich des Satzes 2, für Mandate als Geschäftsleiter und für Mandate in Verwaltungs- und Aufsichtsorganen, die das Mitglied des Verwaltungs- und Aufsichtsorgans am 31. Dezember 2013 bereits innehatte, nicht zur Anwendung. Für bedeutende Institute im Sinne des § 1 Absatz 3c gilt § 25d Absatz 3 ab dem 1. Juli 2014.</w:t>
      </w:r>
    </w:p>
    <w:p>
      <w:r>
        <w:t xml:space="preserve">(15) (weggefallen)</w:t>
      </w:r>
    </w:p>
    <w:p>
      <w:r>
        <w:t xml:space="preserve">(16) § 53b Absatz 4, 5 und 8 in der ab dem 1. Januar 2014 geltenden Fassung ist ab dem 1. Januar 2015 oder bei Erlass eines Rechtsakts nach Artikel 151 Absatz 2 der Richtlinie 2013/36/EU ab dem Ablauf des dort bestimmten Zeitraums anzuwenden. Bis zum 31. Dezember 2014 oder dem Ablauf des in dem vorgenannten Rechtsakt bestimmten Zeitraums ist § 53b Absatz 4, 5 und 8 in der bis zum 31. Dezember 2013 geltenden Fassung weiter anzuwenden.</w:t>
      </w:r>
    </w:p>
    <w:p>
      <w:r>
        <w:t xml:space="preserve">(17) Bei der Anwendung der Übergangsvorschriften des Artikels 484 Absatz 5 der Verordnung (EU) Nr. 575/2013 sind bis zum 31. Dezember 2021 die Regelungen der Zuschlagsverordnung in der im Bundesgesetzblatt Teil III, Gliederungsnummer 7610-2-6, veröffentlichten bereinigten Fassung, die durch Artikel 2 der Verordnung vom 20. Dezember 1984 (BGBl. I S. 1727) geändert und durch Artikel 7 Absatz 1 des Gesetzes vom 28. August 2013 (BGBl. I S. 3395) aufgehoben worden ist, weiter anzuwenden.</w:t>
      </w:r>
    </w:p>
    <w:p>
      <w:r>
        <w:t xml:space="preserve">(18) Für Kreditinstitute mit einer ausschließlichen Erlaubnis zum Betreiben der Tätigkeit einer zentralen Gegenpartei nach § 1 Absatz 1 Satz 2 Nummer 12 gelten bis zur Entscheidung über die Erteilung einer Zulassung nach Artikel 17 der Verordnung (EU) Nr. 648/2012 des Europäischen Parlaments und des Rates vom 4. Juli 2012 über OTC-Derivate, zentrale Gegenparteien und Transaktionsregister (ABl. L 201 vom 27.7.2012, S. 1) die Vorschriften dieses Gesetzes und der auf Grund dieses Gesetzes erlassenen Rechtsverordnungen jeweils in der bis zum 31. Dezember 2013 geltenden Fassung fort.</w:t>
      </w:r>
    </w:p>
    <w:p>
      <w:r>
        <w:t xml:space="preserve">(19) Wohnungsunternehmen mit Spareinrichtung, die am 31. Dezember 2013 über eine Erlaubnis zum Betreiben von Bankgeschäften nach § 32 Absatz 1 verfügt haben, dürfen abweichend von § 51c Absatz 5 über ein geringeres Anfangskapital als den Gegenwert von 5 Millionen Euro verfügen. In diesem Fall darf das Anfangskapital nicht unter den am 31. Dezember 2013 vorhandenen Betrag sinken.</w:t>
      </w:r>
    </w:p>
    <w:p>
      <w:r>
        <w:rPr>
          <w:color w:val="555555"/>
          <w:sz w:val="17"/>
        </w:rPr>
        <w:t xml:space="preserve">Zitiervorschlag: § 64r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https://recht.nulegal.eu/gesetze/KredWG/64r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