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64q KredWG — Übergangsvorschrift zum AIFM-Umsetzungsgesetz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Finanzdienstleistungsinstitute, die durch die Änderung des § 1 und das Inkrafttreten des Kapitalanlagegesetzbuchs als Kapitalverwaltungsgesellschaften im Sinne des § 17 des Kapitalanlagegesetzbuchs oder als Anteile an Investmentvermögen im Sinne des § 1 Absatz 1 des Kapitalanlagegesetzbuchs gelten und die die Voraussetzungen von § 353 Absatz 1 bis 3 erfüllen, ist § 1 Absatz 1a in der bis zum 21. Juli 2013 geltenden Fassung weiterhin anzuwenden.</w:t>
      </w:r>
    </w:p>
    <w:p>
      <w:r>
        <w:t xml:space="preserve">(2) Auf Finanzdienstleistungsinstitute, die durch die Änderung des § 1 und das Inkrafttreten des Kapitalanlagegesetzbuchs als Kapitalverwaltungsgesellschaften im Sinne des § 17 des Kapitalanlagegesetzbuchs oder als Anteile an Investmentvermögen im Sinne des § 1 Absatz 1 des Kapitalanlagegesetzbuchs gelten, ist dieses Gesetz in der bis zum 21. Juli 2013 geltenden Fassung bis zur Stellung des Erlaubnisantrages gemäß § 22 des Kapitalanlagegesetzbuchs oder, wenn die Voraussetzungen des § 2 Absatz 4, 4a, 4b oder Absatz 5 des Kapitalanlagegesetzbuchs erfüllt sind, bis zur Registrierung gemäß § 44 des Kapitalanlagegesetzbuchs weiterhin anzuwenden.</w:t>
      </w:r>
    </w:p>
    <w:p>
      <w:r>
        <w:rPr>
          <w:color w:val="555555"/>
          <w:sz w:val="17"/>
        </w:rPr>
        <w:t xml:space="preserve">Zitiervorschlag: § 64q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https://recht.nulegal.eu/gesetze/KredWG/64q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