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64h KredWG — Übergangsvorschriften zum Gesetz zur Umsetzung der neu gefassten Bankenrichtlinie und der neu gefassten Kapitaladäquanzrichtlinie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Institute dürfen personenbezogene Daten, die sie vor dem 1. Januar 2007 erhoben haben, nach Maßgabe des § 10 Absatz 2 verarbeiten.</w:t>
      </w:r>
    </w:p>
    <w:p>
      <w:r>
        <w:t xml:space="preserve">(6) (weggefallen)</w:t>
      </w:r>
    </w:p>
    <w:p>
      <w:r>
        <w:t xml:space="preserve">(7) § 2 Abs. 8a ist bis längstens zum 31. Dezember 2014 anzuwenden.</w:t>
      </w:r>
    </w:p>
    <w:p>
      <w:r>
        <w:rPr>
          <w:color w:val="555555"/>
          <w:sz w:val="17"/>
        </w:rPr>
        <w:t xml:space="preserve">Zitiervorschlag: § 64h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