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64f KredWG — Übergangsvorschriften zum Vierten Finanzmarktförderungsgesetz</w:t>
      </w:r>
    </w:p>
    <w:p>
      <w:r>
        <w:rPr>
          <w:color w:val="555555"/>
          <w:sz w:val="18"/>
        </w:rPr>
        <w:t xml:space="preserve">Kreditwesengesetz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Für ein Kreditinstitut, das am 1. Juli 2002 über eine Erlaubnis als Einlagenkreditinstitut verfügt, gilt die Erlaubnis für das Betreiben des Kreditkartengeschäfts für diesen Zeitpunkt als erteilt.</w:t>
      </w:r>
    </w:p>
    <w:p>
      <w:r>
        <w:t xml:space="preserve">(2) Finanzdienstleistungsinstitute und Wertpapierhandelsbanken, die am 1. Juli 2002 zulässigerweise tätig waren, ohne über eine Erlaubnis der Bundesanstalt gemäß § 1 Abs. 1a Satz 2 Nr. 8 zu verfügen, haben bis zum 1. November 2002 ihre erlaubnispflichtige Tätigkeit und die Absicht, diese fortzuführen, der Bundesanstalt und der Deutschen Bundesbank anzuzeigen. § 64e Abs. 2 Satz 2 bis 5 gilt entsprechend.</w:t>
      </w:r>
    </w:p>
    <w:p>
      <w:r>
        <w:t xml:space="preserve">(3) bis (6) (weggefallen)</w:t>
      </w:r>
    </w:p>
    <w:p>
      <w:r>
        <w:rPr>
          <w:color w:val="555555"/>
          <w:sz w:val="17"/>
        </w:rPr>
        <w:t xml:space="preserve">Zitiervorschlag: § 64f KredWG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https://recht.nulegal.eu/gesetze/KredWG/64f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