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64c KredWG — Übergangsvorschriften zum Bankenrichtlinienumsetzungs- und Bürokratieentlastungsgesetz</w:t>
      </w:r>
    </w:p>
    <w:p>
      <w:r>
        <w:rPr>
          <w:color w:val="555555"/>
          <w:sz w:val="18"/>
        </w:rPr>
        <w:t xml:space="preserve">Kreditwesengesetz</w:t>
      </w:r>
    </w:p>
    <w:p>
      <w:r>
        <w:rPr>
          <w:color w:val="555555"/>
          <w:sz w:val="18"/>
        </w:rPr>
        <w:t xml:space="preserve">Stand: 10.04.2026 (konsolidierte Textfassung, kein amtliches Inkrafttretensdatum)</w:t>
      </w:r>
    </w:p>
    <w:p>
      <w:r>
        <w:t xml:space="preserve">(1) Für Geschäftsleiter von nach § 2f zugelassenen Finanzholding-Gesellschaften und von nach § 2f zugelassenen gemischten Finanzholding-Gesellschaften gilt die Mandatsbeschränkung des § 25c Absatz 2 nicht für Mandate als Geschäftsleiter und für Mandate in Verwaltungs- und Aufsichtsorganen, die der Geschäftsleiter am 31. Dezember 2025 bereits innehatte.</w:t>
      </w:r>
    </w:p>
    <w:p>
      <w:r>
        <w:t xml:space="preserve">(2) Die Frist nach § 24 Absatz 1 Nummer 1 zweiter Halbsatz und Absatz 3a Nummer 1 zweiter Halbsatz sowie nach § 24 Absatz 1 Nummer 15 zweiter Halbsatz und Absatz 3a Nummer 4 zweiter Halbsatz ist erstmalig auf Personen anzuwenden, für die eine Anzeigepflicht ab dem 1. April 2026 entsteht.</w:t>
      </w:r>
    </w:p>
    <w:p>
      <w:r>
        <w:t xml:space="preserve">(3) Die Pflicht gemäß § 26d Absatz 1 tritt für die in § 26d Absatz 1 Satz 3 genannten Institute am 11. Januar 2027 in Kraft.</w:t>
      </w:r>
    </w:p>
    <w:p>
      <w:r>
        <w:t xml:space="preserve">(4) Rechtsverordnungen des Bundesministeriums der Finanzen, welche die vollständige oder teilweise Anwendung der Vorschriften des § 53b unter vollständiger oder teilweiser Freistellung von den Vorschriften des § 53 auf Unternehmen mit Sitz in einem Drittstaat angeordnet haben, gelten fort. Satz 1 gilt nicht in Bezug auf CRD-Drittstaatenzweigstellen nach § 53c.</w:t>
      </w:r>
    </w:p>
    <w:p>
      <w:r>
        <w:t xml:space="preserve">(5) Mit Ausnahme des § 53cc Absatz 6, der §§ 53ck und 53cl sind die §§ 53c bis 53cq erst ab dem 11. Januar 2027 anzuwenden. Für die Zwecke der Anwendung der §§ 53ck und 53cl gilt § 53c Absatz 1 bereits ab dem 11. Januar 2026.</w:t>
      </w:r>
    </w:p>
    <w:p>
      <w:r>
        <w:rPr>
          <w:color w:val="555555"/>
          <w:sz w:val="17"/>
        </w:rPr>
        <w:t xml:space="preserve">Zitiervorschlag: § 64c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https://recht.nulegal.eu/gesetze/KredWG/64c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