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63a KredWG — Sondervorschriften für das in Artikel 3 des Einigungsvertrages genannte Gebiet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ein Kreditinstitut mit Sitz in der Deutschen Demokratischen Republik einschließlich Berlin (Ost) am 1. Juli 1990 Bankgeschäfte in dem in § 1 Abs. 1 bezeichneten Umfang betreiben durfte, gilt die Erlaubnis nach § 32 als erteilt.</w:t>
      </w:r>
    </w:p>
    <w:p>
      <w:r>
        <w:t xml:space="preserve">(2) Die Bundesanstalt kann Gruppen von Kreditinstituten oder einzelne Kreditinstitute mit Sitz in dem in Artikel 3 des Einigungsvertrages genannten Gebiet von Verpflichtungen auf Grund dieses Gesetzes freistellen, wenn dies aus besonderen Gründen, insbesondere wegen der noch fehlenden Angleichung des Rechts in dem in Artikel 3 des Einigungsvertrages genannten Gebiet an das Bundesrecht, angezeigt ist.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63a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