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KredWG — Überleitungsbestimmungen</w:t>
      </w:r>
    </w:p>
    <w:p>
      <w:r>
        <w:rPr>
          <w:color w:val="555555"/>
          <w:sz w:val="18"/>
        </w:rPr>
        <w:t xml:space="preserve">Kreditwesengesetz</w:t>
      </w:r>
    </w:p>
    <w:p>
      <w:r>
        <w:rPr>
          <w:color w:val="555555"/>
          <w:sz w:val="18"/>
        </w:rPr>
        <w:t xml:space="preserve">Stand: 10.06.2019 (konsolidierte Textfassung, kein amtliches Inkrafttretensdatum)</w:t>
      </w:r>
    </w:p>
    <w:p>
      <w:r>
        <w:t xml:space="preserve">(1) Die auf dem Gebiet des Kreditwesens bestehenden Rechtsvorschriften sowie die auf Grund der bisherigen Rechtsvorschriften erlassenen Anordnungen bleiben aufrechterhalten, soweit ihnen nicht Bestimmungen dieses Gesetzes entgegenstehen. Rechtsvorschriften, die für die geschäftliche Betätigung bestimmter Arten von Kreditinstituten weitergehende Anforderungen stellen als dieses Gesetz, bleiben unberührt.</w:t>
      </w:r>
    </w:p>
    <w:p>
      <w:r>
        <w:t xml:space="preserve">(2) Aufgaben und Befugnisse, die in Rechtsvorschriften des Bundes der Bankaufsichtsbehörde zugewiesen sind, gehen auf die Bundesanstalt über.</w:t>
      </w:r>
    </w:p>
    <w:p>
      <w:r>
        <w:t xml:space="preserve">(3) Die Zuständigkeiten der Länder für die Anerkennung als verlagertes Geldinstitut nach der Fünfunddreißigsten Durchführungsverordnung zum Umstellungsgesetz, für die Bestätigung der Umstellungsrechnung und der Altbankenrechnung sowie für die Aufgaben und Befugnisse nach den Wertpapierbereinigungsgesetzen und dem Bereinigungsgesetz für deutsche Auslandsbonds bleiben unberührt.</w:t>
      </w:r>
    </w:p>
    <w:p>
      <w:r>
        <w:rPr>
          <w:color w:val="555555"/>
          <w:sz w:val="17"/>
        </w:rPr>
        <w:t xml:space="preserve">Zitiervorschlag: § 62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