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60d KredWG — Bekanntmachung von Maßnahmen und Sanktionen gegen Wertpapierdienstleistungsunternehmen</w:t>
      </w:r>
    </w:p>
    <w:p>
      <w:r>
        <w:rPr>
          <w:color w:val="555555"/>
          <w:sz w:val="18"/>
        </w:rPr>
        <w:t xml:space="preserve">Kreditwesengesetz</w:t>
      </w:r>
    </w:p>
    <w:p>
      <w:r>
        <w:rPr>
          <w:color w:val="555555"/>
          <w:sz w:val="18"/>
        </w:rPr>
        <w:t xml:space="preserve">Stand: 01.04.2026 (konsolidierte Textfassung, kein amtliches Inkrafttretensdatum)</w:t>
      </w:r>
    </w:p>
    <w:p>
      <w:r>
        <w:t xml:space="preserve">(1) Die Bundesanstalt macht Entscheidungen über Maßnahmen und Sanktionen gemäß § 56 Absatz 4h, die gegen Wertpapierdienstleistungsunternehmen im Sinne des § 2 Absatz 10 des Wertpapierhandelsgesetzes erlassen wurden, unverzüglich nach Unterrichtung der natürlichen oder juristischen Person, gegen die die Maßnahme oder Sanktion verhängt wurde, auf ihrer Internetseite bekannt. Dies gilt nicht für Entscheidungen über Ermittlungsmaßnahmen.</w:t>
      </w:r>
    </w:p>
    <w:p>
      <w:r>
        <w:t xml:space="preserve">(2) In der Bekanntmachung benennt die Bundesanstalt die Vorschrift, gegen die verstoßen wurde, und die für den Verstoß verantwortliche natürliche oder juristische Person oder Personenvereinigung.</w:t>
      </w:r>
    </w:p>
    <w:p>
      <w:r>
        <w:t xml:space="preserve">(3) Ist die Bundesanstalt nach einer fallbezogenen Bewertung der Verhältnismäßigkeit der Bekanntmachung zu der Ansicht gelangt, dass die Bekanntmachung der Identität der juristischen Person oder der personenbezogenen Daten der natürlichen Person unverhältnismäßig wäre, oder würde die Bekanntmachung die Stabilität der Finanzmärkte oder laufende Ermittlungen gefährden, so kann die Bundesanstalt</w:t>
      </w:r>
    </w:p>
    <w:p>
      <w:pPr>
        <w:ind w:left="420"/>
      </w:pPr>
      <w:r>
        <w:t xml:space="preserve">1. die Entscheidung erst dann bekanntmachen, wenn die Gründe für den Verzicht auf ihre Bekanntmachung nicht mehr bestehen, oder</w:t>
      </w:r>
    </w:p>
    <w:p>
      <w:pPr>
        <w:ind w:left="420"/>
      </w:pPr>
      <w:r>
        <w:t xml:space="preserve">2. die Entscheidung ohne Nennung personenbezogener Daten bekanntmachen, wenn diese anonymisierte Bekanntmachung einen wirksamen Schutz der betreffenden personenbezogenen Daten gewährleistet, oder</w:t>
      </w:r>
    </w:p>
    <w:p>
      <w:pPr>
        <w:ind w:left="420"/>
      </w:pPr>
      <w:r>
        <w:t xml:space="preserve">3. gänzlich von der Bekanntmachung der Entscheidung absehen, wenn die in den Nummern 1 und 2 genannten Möglichkeiten ihrer Ansicht nach nicht ausreichend gewährleisten, dass</w:t>
      </w:r>
    </w:p>
    <w:p>
      <w:pPr>
        <w:ind w:left="780"/>
      </w:pPr>
      <w:r>
        <w:t xml:space="preserve">a) die Stabilität der Finanzmärkte nicht gefährdet wird,</w:t>
      </w:r>
    </w:p>
    <w:p>
      <w:pPr>
        <w:ind w:left="780"/>
      </w:pPr>
      <w:r>
        <w:t xml:space="preserve">b) die Bekanntmachung von Entscheidungen über Maßnahmen, die als geringfügiger einzustufen sind, verhältnismäßig ist.</w:t>
      </w:r>
    </w:p>
    <w:p>
      <w:r>
        <w:t xml:space="preserve">Entscheidet sich die Bundesanstalt für eine Bekanntmachung in anonymisierter Form, kann die Bekanntmachung um einen angemessenen Zeitraum aufgeschoben werden, wenn vorhersehbar ist, dass die Gründe für die anonymisierte Bekanntmachung innerhalb dieses Zeitraums wegfallen werden.</w:t>
      </w:r>
    </w:p>
    <w:p>
      <w:r>
        <w:t xml:space="preserve">(4) Wird gegen die Entscheidung, mit der die Sanktion oder Maßnahme erlassen wird, ein Rechtsbehelf eingelegt, so macht die Bundesanstalt auch diesen Sachverhalt und alle weiteren Informationen über das Ergebnis des Rechtsbehelfsverfahrens umgehend auf ihrer Internetseite bekannt. Ferner wird jede Entscheidung, mit der eine frühere Entscheidung aufgehoben oder geändert wird, ebenfalls bekannt gemacht.</w:t>
      </w:r>
    </w:p>
    <w:p>
      <w:r>
        <w:t xml:space="preserve">(5) Eine Bekanntmachung nach Absatz 1 ist fünf Jahre nach ihrer Bekanntmachung zu löschen. Abweichend von Satz 1 sind personenbezogene Daten zu löschen, sobald ihre Bekanntmachung nicht mehr erforderlich ist.</w:t>
      </w:r>
    </w:p>
    <w:p>
      <w:r>
        <w:rPr>
          <w:color w:val="555555"/>
          <w:sz w:val="17"/>
        </w:rPr>
        <w:t xml:space="preserve">Zitiervorschlag: § 60d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