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KredWG — Aufgaben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übt die Aufsicht über die Institute nach den Vorschriften dieses Gesetzes, den dazu erlassenen Rechtsverordnungen, der Verordnung (EU) Nr. 575/2013 in ihrer jeweils geltenden Fassung und der auf der Grundlage der Verordnung (EU) Nr. 575/2013 und der Richtlinie 2013/36/EU erlassenen Rechtsakte sowie nach den Vorschriften der Verordnung (EU) Nr. 1024/2013 und der Verordnung (EU) Nr. 468/2014 aus. Die Bundesanstalt ist die zuständige Behörde für die Anwendung von Artikel 124 Absatz 8, Artikel 164 Absatz 6 und Artikel 458 der Verordnung (EU) Nr. 575/2013 sowie die zuständige Behörde nach Artikel 4 Absatz 1 der Richtlinie 2013/36/EU in der Fassung vom 27. November 2024, soweit nicht die Europäische Zentralbank nach der Verordnung (EU) Nr. 1024/2013 als zuständige Behörde gilt. Die Deutsche Bundesbank ist zuständige Stelle nach Artikel 4 Absatz 1 der Richtlinie 2013/36/EU im Rahmen der ihr nach § 7 Absatz 1 auch in Verbindung mit Absatz 1a zugewiesenen Aufgaben, soweit nicht die Europäische Zentralbank nach der Verordnung (EU) Nr. 1024/2013 als zuständige Behörde gilt.</w:t>
      </w:r>
    </w:p>
    <w:p>
      <w:r>
        <w:t xml:space="preserve">(1a) Die Bundesanstalt übt die Aufsicht über zentrale Gegenparteien zusätzlich auch nach der Verordnung (EU) Nr. 648/2012 sowie den auf ihrer Grundlage erlassenen Rechtsakten aus.</w:t>
      </w:r>
    </w:p>
    <w:p>
      <w:r>
        <w:t xml:space="preserve">(1b) Für CRR-Institute ist die Bundesanstalt sektoral zuständige Behörde im Sinne des Artikels 25a der Verordnung (EG) Nr. 1060/2009 in der jeweils geltenden Fassung und setzt die Einhaltung der Anforderungen der Verordnung (EG) Nr. 1060/2009 in der jeweils geltenden Fassung durch, soweit nicht § 29 des Wertpapierhandelsgesetzes anzuwenden ist.</w:t>
      </w:r>
    </w:p>
    <w:p>
      <w:r>
        <w:t xml:space="preserve">(1c) Die Bundesanstalt ist zuständige Behörde im Sinne der Artikel 11, 17 Absatz 1 und des Artikels 55 Absatz 1 der Verordnung (EU) Nr. 909/2014 des Europäischen Parlaments und des Rates vom 23. Juli 2014 zur Verbesserung der Wertpapierlieferungen und -abrechnungen in der Europäischen Union und über Zentralverwahrer sowie zur Änderung der Richtlinien 98/26/EG und 2014/65/EU und der Verordnung (EU) Nr. 236/2012 (ABl. L 257 vom 28.8.2014, S. 1).</w:t>
      </w:r>
    </w:p>
    <w:p>
      <w:r>
        <w:t xml:space="preserve">(1d) Die Bundesanstalt ist die nach diesem Gesetz zuständige Behörde im Sinne der Verordnung (EU) Nr. 1286/2014 des Europäischen Parlaments und des Rates vom 26. November 2014 über Basisinformationsblätter für verpackte Anlageprodukte für Kleinanleger und Versicherungsanlageprodukte (PRIIP) (ABl. L 352 vom 9.12.2014, S. 1, L 358 vom 13.12.2014, S. 50) in der jeweils geltenden Fassung für Institute, die PRIP im Sinne des Artikels 4 Nummer 1 dieser Verordnung herstellen, verkaufen oder über diese beraten, sofern es sich bei diesen PRIP zugleich um strukturierte Einlagen im Sinne des § 2 Absatz 15 des Wertpapierhandelsgesetzes handelt.</w:t>
      </w:r>
    </w:p>
    <w:p>
      <w:r>
        <w:t xml:space="preserve">(1e) Die Bundesanstalt ist zuständige Behörde für</w:t>
      </w:r>
    </w:p>
    <w:p>
      <w:pPr>
        <w:ind w:left="420"/>
      </w:pPr>
      <w:r>
        <w:t xml:space="preserve">1. Originatoren, ursprüngliche Kreditgeber und Verbriefungszweckgesellschaften im Sinne des Artikels 29 Absatz 4 der Verordnung (EU) 2017/2402,</w:t>
      </w:r>
    </w:p>
    <w:p>
      <w:pPr>
        <w:ind w:left="420"/>
      </w:pPr>
      <w:r>
        <w:t xml:space="preserve">2. Originatoren, Sponsoren und Verbriefungszweckgesellschaften nach Artikel 29 Absatz 5 der Verordnung (EU) 2017/2402 und</w:t>
      </w:r>
    </w:p>
    <w:p>
      <w:pPr>
        <w:ind w:left="420"/>
      </w:pPr>
      <w:r>
        <w:t xml:space="preserve">3. Dritte im Sinne des Artikels 28 der Verordnung (EU) 2017/2402</w:t>
      </w:r>
    </w:p>
    <w:p>
      <w:r>
        <w:t xml:space="preserve">und setzt ihnen gegenüber in Fällen der Nummer 1 die Einhaltung der Anforderungen nach den Artikeln 6 bis 9, in Fällen der Nummer 2 die Einhaltung der Anforderungen nach den Artikeln 18 bis 27 und in Fällen der Nummer 3 die Einhaltung der Anforderungen nach Artikel 28 der Verordnung (EU) 2017/2402 und der auf Grundlage der Verordnung (EU) 2017/2402 erlassenen Rechtsakte nach den Vorschriften dieses Gesetzes durch, soweit nicht § 295 Absatz 1 Nummer 4 des Versicherungsaufsichtsgesetzes oder § 5 Absatz 12 des Kapitalanlagegesetzbuchs anzuwenden sind. Im Fall einer als „europäische grüne Anleihe“ bezeichneten Verbriefungsanleihe im Sinne des Artikels 16 der Verordnung (EU) 2023/2631 des Europäischen Parlaments und des Rates vom 22. November 2023 über europäische grüne Anleihen sowie fakultative Offenlegungen zu als ökologisch nachhaltig vermarkteten Anleihen und zu an Nachhaltigkeitsziele geknüpften Anleihen (ABl. L, 2023/2631, 30.11.2023), die durch die Verordnung (EU) 2023/2869 (ABl. L, 2023/2869, 20.12.2023) geändert worden ist, setzt die Bundesanstalt gemäß Artikel 44 Absatz 2 der Verordnung (EU) 2023/2631 als zuständige Behörde die an einen Originator gestellten Anforderungen nach der Verordnung (EU) 2023/2631 und nach der auf ihrer Grundlage erlassenen delegierten Rechtsakte und technischen Durchführungs- und Regulierungsstandards der Europäischen Kommission sowie die dazu erlassenen gesetzlichen Regelungen im Wertpapierprospektgesetz und Wertpapierhandelsgesetz durch, soweit nicht § 295 Absatz 1 Nummer 4a des Versicherungsaufsichtsgesetzes oder § 5 Absatz 12 des Kapitalanlagegesetzbuchs anzuwenden sind.</w:t>
      </w:r>
    </w:p>
    <w:p>
      <w:r>
        <w:t xml:space="preserve">(1f) Die Bundesanstalt ist zuständige Behörde im Sinne des Artikels 2 Nummer 18 der Verordnung (EU) 2019/1238 des Europäischen Parlaments und des Rates vom 20. Juni 2019 über ein Paneuropäisches Privates Pensionsprodukt (PEPP) (ABl. L 198 vom 25.7.2019, S. 1) nach den Vorschriften dieses Gesetzes, soweit nicht § 295 Absatz 1 Nummer 7 des Versicherungsaufsichtsgesetzes, § 32a Absatz 1 des Wertpapierhandelsgesetzes oder § 5 Absatz 13 des Kapitalanlagegesetzbuchs anzuwenden sind.</w:t>
      </w:r>
    </w:p>
    <w:p>
      <w:r>
        <w:t xml:space="preserve">(1g) Die Aufsichtsbehörden nach § 1 Absatz 5 sind zuständige Behörden nach Artikel 46 der Verordnung (EU) 2022/2554. Bei der Durchführung der Aufgaben nach den Artikeln 26 und 27 der Verordnung (EU) 2022/2554 wirkt die Bundesanstalt mit der Deutschen Bundesbank zusammen. Die Deutsche Bundesbank nimmt die operativen Aufgaben nach den Artikeln 26 und 27 der Verordnung (EU) 2022/2554 wahr. § 7 Absatz 3 und 4 gilt entsprechend.</w:t>
      </w:r>
    </w:p>
    <w:p>
      <w:r>
        <w:t xml:space="preserve">(2) Die Bundesanstalt hat Mißständen im Kredit- und Finanzdienstleistungswesen entgegenzuwirken, welche die Sicherheit der den Instituten anvertrauten Vermögenswerte gefährden, die ordnungsmäßige Durchführung der Bankgeschäfte oder Finanzdienstleistungen beeinträchtigen oder erhebliche Nachteile für die Gesamtwirtschaft herbeiführen können.</w:t>
      </w:r>
    </w:p>
    <w:p>
      <w:r>
        <w:t xml:space="preserve">(3) Die Bundesanstalt kann im Rahmen der ihr gesetzlich zugewiesenen Aufgaben gegenüber den Instituten und ihren Geschäftsleitern, den Mitgliedern des Verwaltungs- oder Aufsichtsorgans, den Inhabern von Schlüsselfunktionen und den Risikoträgern sowie gegenüber anderen natürlichen Personen, die für einen Verstoß verantwortlich sind, Anordnungen treffen, die geeignet und erforderlich sind, um Verstöße gegen aufsichtsrechtliche Bestimmungen oder vollziehbare Anordnungen der Aufsichtsbehörde zu verhindern oder zu unterbinden oder um Missstände in einem Institut zu verhindern oder zu beseitigen, welche die Sicherheit der dem Institut anvertrauten Vermögenswerte gefährden können oder die ordnungsgemäße Durchführung der Bankgeschäfte oder Finanzdienstleistungen beeinträchtigen. Die Anordnungsbefugnis nach Satz 1 besteht auch gegenüber Finanzholding-Gesellschaften oder gemischten Finanzholding-Gesellschaften sowie gegenüber deren Geschäftsleitern, Mitgliedern des Verwaltungs- oder Aufsichtsorgans, Inhabern von Schlüsselfunktionen und Risikoträgern.</w:t>
      </w:r>
    </w:p>
    <w:p>
      <w:r>
        <w:t xml:space="preserve">(4) Die Bundesanstalt hat bei der Ausübung ihrer Aufgaben in angemessener Weise die möglichen Auswirkungen ihrer Entscheidungen auf die Stabilität des Finanzsystems in den jeweils betroffenen Staaten des Europäischen Wirtschaftsraums zu berücksichtigen.</w:t>
      </w:r>
    </w:p>
    <w:p>
      <w:r>
        <w:t xml:space="preserve">(5) (weggefallen)</w:t>
      </w:r>
    </w:p>
    <w:p>
      <w:r>
        <w:rPr>
          <w:color w:val="555555"/>
          <w:sz w:val="17"/>
        </w:rPr>
        <w:t xml:space="preserve">Zitiervorschlag: § 6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