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KredWG — Bußgeldvorschriften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26b Absatz 1 Satz 1 nicht sicherstellt, dass Kryptowerte oder private kryptographische Schlüssel getrennt verwahrt werden,</w:t>
      </w:r>
    </w:p>
    <w:p>
      <w:pPr>
        <w:ind w:left="420"/>
      </w:pPr>
      <w:r>
        <w:t xml:space="preserve">2. entgegen § 26b Absatz 1 Satz 2 nicht sicherstellt, dass sich ein Anteil jederzeit bestimmen lässt, oder</w:t>
      </w:r>
    </w:p>
    <w:p>
      <w:pPr>
        <w:ind w:left="420"/>
      </w:pPr>
      <w:r>
        <w:t xml:space="preserve">3. entgegen § 26b Absatz 2 nicht sicherstellt, dass über Kryptowerte oder private kryptographische Schlüssel in der dort genannten Weise nicht verfügt werden kann.</w:t>
      </w:r>
    </w:p>
    <w:p>
      <w:r>
        <w:t xml:space="preserve">(2) Die Ordnungswidrigkeit kann mit einer Geldbuße bis zu fünfhunderttausend Euro geahndet werden. § 30 Absatz 2 Satz 3 des Gesetzes über Ordnungswidrigkeiten ist anzuwenden.</w:t>
      </w:r>
    </w:p>
    <w:p>
      <w:r>
        <w:rPr>
          <w:color w:val="555555"/>
          <w:sz w:val="17"/>
        </w:rPr>
        <w:t xml:space="preserve">Zitiervorschlag: § 57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