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KredWG — Verletzung der Pflicht zur Anzeige der Zahlungsunfähigkeit oder der Überschuldung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 entgegen § 46b Abs. 1 Satz 1, auch in Verbindung mit § 53b Abs. 3 Satz 1, eine Anzeige nicht, nicht richtig, nicht vollständig oder nicht rechtzeitig erstattet.</w:t>
      </w:r>
    </w:p>
    <w:p>
      <w:r>
        <w:t xml:space="preserve">(2) Handelt der Täter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55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