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54a KredWG — Strafvorschriften</w:t>
      </w:r>
    </w:p>
    <w:p>
      <w:r>
        <w:rPr>
          <w:color w:val="555555"/>
          <w:sz w:val="18"/>
        </w:rPr>
        <w:t xml:space="preserve">Kreditwesengesetz</w:t>
      </w:r>
    </w:p>
    <w:p>
      <w:r>
        <w:rPr>
          <w:color w:val="555555"/>
          <w:sz w:val="18"/>
        </w:rPr>
        <w:t xml:space="preserve">Stand: 10.06.2019 (konsolidierte Textfassung, kein amtliches Inkrafttretensdatum)</w:t>
      </w:r>
    </w:p>
    <w:p>
      <w:r>
        <w:t xml:space="preserve">(1) Mit Freiheitsstrafe bis zu fünf Jahren oder mit Geldstrafe wird bestraft, wer entgegen § 25c Absatz 4a oder § 25c Absatz 4b Satz 2 nicht dafür Sorge trägt, dass ein Institut oder eine dort genannte Gruppe über eine dort genannte Strategie, einen dort genannten Prozess, ein dort genanntes Verfahren, eine dort genannte Funktion oder ein dort genanntes Konzept verfügt, und hierdurch eine Bestandsgefährdung des Instituts, des übergeordneten Unternehmens oder eines gruppenangehörigen Instituts herbeiführt.</w:t>
      </w:r>
    </w:p>
    <w:p>
      <w:r>
        <w:t xml:space="preserve">(2) Wer in den Fällen des Absatzes 1 die Gefahr fahrlässig herbeiführt, wird mit Freiheitsstrafe bis zu zwei Jahren oder mit Geldstrafe bestraft.</w:t>
      </w:r>
    </w:p>
    <w:p>
      <w:r>
        <w:t xml:space="preserve">(3) Die Tat ist nur strafbar, wenn die Bundesanstalt dem Täter durch Anordnung nach § 25c Absatz 4c die Beseitigung des Verstoßes gegen § 25c Absatz 4a oder § 25c Absatz 4b Satz 2 aufgegeben hat, der Täter dieser vollziehbaren Anordnung zuwiderhandelt und hierdurch die Bestandsgefährdung herbeigeführt hat.</w:t>
      </w:r>
    </w:p>
    <w:p>
      <w:r>
        <w:rPr>
          <w:color w:val="555555"/>
          <w:sz w:val="17"/>
        </w:rPr>
        <w:t xml:space="preserve">Zitiervorschlag: § 54a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