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KredWG — Verbotene Geschäfte, Handeln ohne Erlaubnis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15.04.2026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entgegen § 3 Absatz 1 Nummer 1 oder 3, jeweils auch in Verbindung mit § 53b Absatz 3 Satz 1 oder 2, oder entgegen § 3 Absatz 3 Satz 4 ein dort genanntes Geschäft betreibt,</w:t>
      </w:r>
    </w:p>
    <w:p>
      <w:pPr>
        <w:ind w:left="420"/>
      </w:pPr>
      <w:r>
        <w:t xml:space="preserve">2. entgegen § 3 Absatz 1 Nummer 2 erster Halbsatz, auch in Verbindung mit § 53b Absatz 3 Satz 1 oder 2, einen Geldbetrag annimmt oder</w:t>
      </w:r>
    </w:p>
    <w:p>
      <w:pPr>
        <w:ind w:left="420"/>
      </w:pPr>
      <w:r>
        <w:t xml:space="preserve">3. ohne Erlaubnis nach § 32 Absatz 1 Satz 1 erster Halbsatz ein Bankgeschäft betreibt oder eine Finanzdienstleistung erbringt.</w:t>
      </w:r>
    </w:p>
    <w:p>
      <w:r>
        <w:t xml:space="preserve">(2) Ebenso wird bestraft, wer ohne Zulassung nach Artikel 14 Absatz 1 der Verordnung (EU) Nr. 648/2012 in der Fassung vom 27. November 2024 eine Clearingdienstleistung erbringt.</w:t>
      </w:r>
    </w:p>
    <w:p>
      <w:r>
        <w:t xml:space="preserve">(3) Ebenso wird bestraft, wer ohne Zulassung nach Artikel 16 Absatz 1 der Verordnung (EU) Nr. 909/2014 in der Fassung vom 13. Dezember 2023 eine Zentralverwahrertätigkeit ausübt.</w:t>
      </w:r>
    </w:p>
    <w:p>
      <w:r>
        <w:t xml:space="preserve">(4) Ebenso wird bestraft, wer ohne Zulassung nach Artikel 12 Absatz 1 der Verordnung (EU) 2020/1503 in der Fassung vom 7. Oktober 2020 eine Schwarmfinanzierungsdienstleistung erbringt.</w:t>
      </w:r>
    </w:p>
    <w:p>
      <w:r>
        <w:t xml:space="preserve">(5) Handelt der Täter in den Fällen der Absätze 1 bis 3 oder 4 fahrlässig, so ist die Strafe Freiheitsstrafe bis zu drei Jahren oder Geldstrafe.</w:t>
      </w:r>
    </w:p>
    <w:p>
      <w:r>
        <w:rPr>
          <w:color w:val="555555"/>
          <w:sz w:val="17"/>
        </w:rPr>
        <w:t xml:space="preserve">Zitiervorschlag: § 54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