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53t KredWG — DLT-Abwicklungssysteme und DLT-Handels- und Abwicklungssysteme</w:t>
      </w:r>
    </w:p>
    <w:p>
      <w:r>
        <w:rPr>
          <w:color w:val="555555"/>
          <w:sz w:val="18"/>
        </w:rPr>
        <w:t xml:space="preserve">Kreditwesengesetz</w:t>
      </w:r>
    </w:p>
    <w:p>
      <w:r>
        <w:rPr>
          <w:color w:val="555555"/>
          <w:sz w:val="18"/>
        </w:rPr>
        <w:t xml:space="preserve">Stand: 16.12.2023 (konsolidierte Textfassung, kein amtliches Inkrafttretensdatum)</w:t>
      </w:r>
    </w:p>
    <w:p>
      <w:r>
        <w:t xml:space="preserve">Die Vorschriften dieses Gesetzes über Zentralverwahrer sind auch auf DLT-Abwicklungssysteme im Sinne des Artikels 2 Nummer 7 der Verordnung (EU) 2022/858 und auf solche DLT-Handels- und Abwicklungssysteme im Sinne des Artikels 2 Nummer 10 der Verordnung (EU) 2022/858 anzuwenden, die auf einer Erlaubnis nach der Verordnung (EU) Nr. 909/2014 beruhen.</w:t>
      </w:r>
    </w:p>
    <w:p>
      <w:r>
        <w:rPr>
          <w:color w:val="555555"/>
          <w:sz w:val="17"/>
        </w:rPr>
        <w:t xml:space="preserve">Zitiervorschlag: § 53t KredWG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https://recht.nulegal.eu/gesetze/KredWG/53t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