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53r KredWG — Zuständigkeit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16.12.2023 (konsolidierte Textfassung, kein amtliches Inkrafttretensdatum)</w:t>
      </w:r>
    </w:p>
    <w:p>
      <w:r>
        <w:t xml:space="preserve">Die Bundesanstalt ist zuständige Behörde im Sinne des Artikels 12 Absatz 1 bis 3 der Verordnung (EU) 2022/858.</w:t>
      </w:r>
    </w:p>
    <w:p>
      <w:r>
        <w:rPr>
          <w:color w:val="555555"/>
          <w:sz w:val="17"/>
        </w:rPr>
        <w:t xml:space="preserve">Zitiervorschlag: § 53r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https://recht.nulegal.eu/gesetze/KredWG/53r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