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53q KredWG — Eigentumsrechte an Zentralverwahrern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Unterrichtung der Bundesanstalt und der Deutschen Bundesbank über die Entscheidung, Eigentumsrechte an einem Zentralverwahrer zu übertragen, zu erwerben oder zu veräußern, der ausschließlich Dienstleistungen nach den Abschnitten A und B des Anhangs zur Verordnung (EU) Nr. 909/2014 erbringt oder der neben solchen Dienstleistungen Bankgeschäfte betreibt oder Finanzdienstleistungen erbringt, die zugleich Wertpapierdienstleistungen im Sinne des § 2 Absatz 3 des Wertpapierhandelsgesetzes sind, gilt Artikel 27 Absatz 7 der Verordnung (EU) Nr. 909/2014.</w:t>
      </w:r>
    </w:p>
    <w:p>
      <w:r>
        <w:t xml:space="preserve">(2) Die Bundesanstalt kann dem Erwerber, Veräußerer oder dem Zentralverwahrer die Ausübung der Stimmrechte untersagen und anordnen, dass über die Anteile nur mit ihrer Zustimmung verfügt werden darf, wenn</w:t>
      </w:r>
    </w:p>
    <w:p>
      <w:pPr>
        <w:ind w:left="420"/>
      </w:pPr>
      <w:r>
        <w:t xml:space="preserve">1. die Voraussetzungen einer Untersagungsverfügung nach Artikel 27 Absatz 8 der Verordnung (EU) Nr. 909/2014 vorliegen,</w:t>
      </w:r>
    </w:p>
    <w:p>
      <w:pPr>
        <w:ind w:left="420"/>
      </w:pPr>
      <w:r>
        <w:t xml:space="preserve">2. der Erwerber, Veräußerer oder Zentralverwahrer seiner Pflicht nach Artikel 27 Absatz 7 und 8 der Verordnung (EU) Nr. 909/2014 zur vorherigen Unterrichtung der Bundesanstalt und der Deutschen Bundesbank nicht nachgekommen ist und diese Unterrichtung innerhalb einer von der Bundesanstalt gesetzten Frist nicht nachgeholt hat oder</w:t>
      </w:r>
    </w:p>
    <w:p>
      <w:pPr>
        <w:ind w:left="420"/>
      </w:pPr>
      <w:r>
        <w:t xml:space="preserve">3. entgegen einer vollziehbaren Untersagung nach Artikel 27 Absatz 8 der Verordnung (EU) Nr. 909/2014 das Eigentumsrecht erworben oder veräußert oder der Anteil des Eigentumsrechts erhöht oder verringert worden ist.</w:t>
      </w:r>
    </w:p>
    <w:p>
      <w:r>
        <w:t xml:space="preserve">Im Falle einer Untersagung nach Satz 1 gelten § 2c Absatz 2 Satz 2 bis 9 und § 44b entsprechend.</w:t>
      </w:r>
    </w:p>
    <w:p>
      <w:r>
        <w:rPr>
          <w:color w:val="555555"/>
          <w:sz w:val="17"/>
        </w:rPr>
        <w:t xml:space="preserve">Zitiervorschlag: § 53q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https://recht.nulegal.eu/gesetze/KredWG/53q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