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53p KredWG — Anordnungsbefugnis für die Aufsicht nach der Verordnung (EU) Nr. 909/2014</w:t>
      </w:r>
    </w:p>
    <w:p>
      <w:r>
        <w:rPr>
          <w:color w:val="555555"/>
          <w:sz w:val="18"/>
        </w:rPr>
        <w:t xml:space="preserve">Kreditwesengesetz</w:t>
      </w:r>
    </w:p>
    <w:p>
      <w:r>
        <w:rPr>
          <w:color w:val="555555"/>
          <w:sz w:val="18"/>
        </w:rPr>
        <w:t xml:space="preserve">Stand: 14.03.2026 (konsolidierte Textfassung, kein amtliches Inkrafttretensdatum)</w:t>
      </w:r>
    </w:p>
    <w:p>
      <w:r>
        <w:t xml:space="preserve">Die Bundesanstalt kann unbeschadet der anderen Bestimmungen dieses Gesetzes gegenüber einem Zentralverwahrer im Sinne des Artikels 2 Absatz 1 Nummer 1 der Verordnung (EU) Nr. 909/2014, gegenüber einem benannten Kreditinstitut oder Zentralverwahrer im Sinne des Artikels 54 Absatz 2a der Verordnung (EU) Nr. 909/2014, gegenüber deren übergeordneten Unternehmen sowie gegenüber Mitgliedern, deren Organe, deren Beschäftigten und anderen natürlichen oder juristischen Personen, die deren Geschäfte tatsächlich kontrollieren oder auf die Tätigkeiten im Sinne des Artikels 30 der Verordnung (EU) Nr. 909/2014 ausgelagert worden sind oder die ansonsten der Verordnung (EU) Nr. 909/2014 unterliegen, alle Anordnungen treffen, die geeignet und erforderlich sind, die Einhaltung der Anforderungen der Verordnung (EU) Nr. 909/2014, der darauf basierenden delegierten Rechtsakte sowie der auf Zentralverwahrer anwendbaren Bestimmungen dieses Gesetzes sicherzustellen.</w:t>
      </w:r>
    </w:p>
    <w:p>
      <w:r>
        <w:rPr>
          <w:color w:val="555555"/>
          <w:sz w:val="17"/>
        </w:rPr>
        <w:t xml:space="preserve">Zitiervorschlag: § 53p KredWG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https://recht.nulegal.eu/gesetze/KredWG/53p</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