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53o KredWG — Anträge nach der Verordnung (EU) Nr. 909/2014; Verschwiegenheitspflicht</w:t>
      </w:r>
    </w:p>
    <w:p>
      <w:r>
        <w:rPr>
          <w:color w:val="555555"/>
          <w:sz w:val="18"/>
        </w:rPr>
        <w:t xml:space="preserve">Kreditwesengesetz</w:t>
      </w:r>
    </w:p>
    <w:p>
      <w:r>
        <w:rPr>
          <w:color w:val="555555"/>
          <w:sz w:val="18"/>
        </w:rPr>
        <w:t xml:space="preserve">Stand: 16.12.2023 (konsolidierte Textfassung, kein amtliches Inkrafttretensdatum)</w:t>
      </w:r>
    </w:p>
    <w:p>
      <w:r>
        <w:t xml:space="preserve">(1) Die Unterlagen, die der Bundesanstalt nach der Verordnung (EU) Nr. 909/2014 vorzulegen sind, sind in deutscher Sprache und auf Verlangen der Bundesanstalt zusätzlich in englischer Sprache zu erstellen und vorzulegen. Die Bundesanstalt kann gestatten, dass die Unterlagen oder Teile davon ausschließlich in englischer Sprache erstellt und vorgelegt werden.</w:t>
      </w:r>
    </w:p>
    <w:p>
      <w:r>
        <w:t xml:space="preserve">(2) Anträge sind der Bundesanstalt elektronisch zu übermitteln. Die elektronische Übermittlung hat in einem von der Bundesanstalt bestimmten Datenformat und auf einem von der Bundesanstalt bestimmten Übermittlungsweg zu erfolgen.</w:t>
      </w:r>
    </w:p>
    <w:p>
      <w:r>
        <w:t xml:space="preserve">(3) Die Verschwiegenheitspflicht nach § 9 gilt für die Wahrnehmung der Aufgaben nach § 6 Absatz 1c entsprechend.</w:t>
      </w:r>
    </w:p>
    <w:p>
      <w:r>
        <w:rPr>
          <w:color w:val="555555"/>
          <w:sz w:val="17"/>
        </w:rPr>
        <w:t xml:space="preserve">Zitiervorschlag: § 53o KredWG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https://recht.nulegal.eu/gesetze/KredWG/53o</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