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53m KredWG — Inhalt des Zulassungsantrags; Anforderung von Unterlagen; Verzicht auf die Anhörung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25.06.2026 (konsolidierte Textfassung, kein amtliches Inkrafttretensdatum)</w:t>
      </w:r>
    </w:p>
    <w:p>
      <w:r>
        <w:t xml:space="preserve">(1) Ein Antrag auf Zulassung als zentrale Gegenpartei im Inland nach den Artikeln 14 und 17 der Verordnung (EU) Nr. 648/2012 muss enthalten:</w:t>
      </w:r>
    </w:p>
    <w:p>
      <w:pPr>
        <w:ind w:left="420"/>
      </w:pPr>
      <w:r>
        <w:t xml:space="preserve">1. die Art der abgerechneten Produkte,</w:t>
      </w:r>
    </w:p>
    <w:p>
      <w:pPr>
        <w:ind w:left="420"/>
      </w:pPr>
      <w:r>
        <w:t xml:space="preserve">2. eine Beschreibung der Einrichtung und Ausgestaltung der Modelle und Parameter, die zur Berechnung der Einschussanforderungen im Sinne des Artikels 41 der Verordnung (EU) Nr. 648/2012 verwendet werden, einschließlich der Angabe der relevanten Quellen für die Preisermittlung im Sinne des Artikels 40 der Verordnung (EU) Nr. 648/2012,</w:t>
      </w:r>
    </w:p>
    <w:p>
      <w:pPr>
        <w:ind w:left="420"/>
      </w:pPr>
      <w:r>
        <w:t xml:space="preserve">3. einen Nachweis über die Einrichtung von Ausfallfonds im Sinne des Artikels 42 der Verordnung (EU) Nr. 648/2012 und eine Beschreibung deren Ausgestaltung,</w:t>
      </w:r>
    </w:p>
    <w:p>
      <w:pPr>
        <w:ind w:left="420"/>
      </w:pPr>
      <w:r>
        <w:t xml:space="preserve">4. eine Beschreibung der Vorkehrungen zum Vorhalten sonstiger Finanzmittel im Sinne des Artikels 43 Absatz 1 der Verordnung (EU) Nr. 648/2012,</w:t>
      </w:r>
    </w:p>
    <w:p>
      <w:pPr>
        <w:ind w:left="420"/>
      </w:pPr>
      <w:r>
        <w:t xml:space="preserve">5. eine Beschreibung der Mechanismen zur Kontrolle der Liquiditätsrisiken im Sinne des Artikels 44 der Verordnung (EU) Nr. 648/2012,</w:t>
      </w:r>
    </w:p>
    <w:p>
      <w:pPr>
        <w:ind w:left="420"/>
      </w:pPr>
      <w:r>
        <w:t xml:space="preserve">6. eine Beschreibung der Anforderungen an die Sicherheiten gemäß Artikel 46 der Verordnung (EU) Nr. 648/2012,</w:t>
      </w:r>
    </w:p>
    <w:p>
      <w:pPr>
        <w:ind w:left="420"/>
      </w:pPr>
      <w:r>
        <w:t xml:space="preserve">7. Angaben zur Anlagepolitik im Sinne des Artikels 47 der Verordnung (EU) Nr. 648/2012,</w:t>
      </w:r>
    </w:p>
    <w:p>
      <w:pPr>
        <w:ind w:left="420"/>
      </w:pPr>
      <w:r>
        <w:t xml:space="preserve">8. eine Darstellung der Verfahren bei Ausfall eines Clearingmitgliedes gemäß Artikel 48 der Verordnung (EU) Nr. 648/2012,</w:t>
      </w:r>
    </w:p>
    <w:p>
      <w:pPr>
        <w:ind w:left="420"/>
      </w:pPr>
      <w:r>
        <w:t xml:space="preserve">9. eine Darstellung der Prüfungsverfahren im Sinne des Artikels 49 der Verordnung (EU) Nr. 648/2012 sowie</w:t>
      </w:r>
    </w:p>
    <w:p>
      <w:pPr>
        <w:ind w:left="420"/>
      </w:pPr>
      <w:r>
        <w:t xml:space="preserve">10. alle in § 32 Absatz 1 Satz 5 genannten Angaben; die aufgrund des § 32 Absatz 1 Satz 6 erlassene Rechtsverordnung gilt entsprechend.</w:t>
      </w:r>
    </w:p>
    <w:p>
      <w:r>
        <w:t xml:space="preserve">(2) Die Bundesanstalt kann weitere Unterlagen verlangen, soweit diese für die Beurteilung des Zulassungsantrags erforderlich sind.</w:t>
      </w:r>
    </w:p>
    <w:p>
      <w:r>
        <w:t xml:space="preserve">(3) Die Bundesanstalt kann auf die Anhörung gemäß § 28 Absatz 1 des Verwaltungsverfahrensgesetzes verzichten, wenn sie</w:t>
      </w:r>
    </w:p>
    <w:p>
      <w:pPr>
        <w:ind w:left="420"/>
      </w:pPr>
      <w:r>
        <w:t xml:space="preserve">1. Zulassungen gemäß Artikel 14 der Verordnung (EU) Nr. 648/2012,</w:t>
      </w:r>
    </w:p>
    <w:p>
      <w:pPr>
        <w:ind w:left="420"/>
      </w:pPr>
      <w:r>
        <w:t xml:space="preserve">2. Genehmigungen von Zulassungserweiterungen gemäß Artikel 15, auch in Verbindung mit Artikel 17a, der Verordnung (EU) Nr. 648/2012 oder</w:t>
      </w:r>
    </w:p>
    <w:p>
      <w:pPr>
        <w:ind w:left="420"/>
      </w:pPr>
      <w:r>
        <w:t xml:space="preserve">3. Genehmigungen und Validierungen gemäß Artikel 49, auch in Verbindung mit Artikel 49a, der Verordnung (EU) Nr. 648/2012</w:t>
      </w:r>
    </w:p>
    <w:p>
      <w:r>
        <w:t xml:space="preserve">mit Bedingungen oder Empfehlungen im Sinne der Verordnung (EU) Nr. 648/2012 versehen will.</w:t>
      </w:r>
    </w:p>
    <w:p>
      <w:r>
        <w:rPr>
          <w:color w:val="555555"/>
          <w:sz w:val="17"/>
        </w:rPr>
        <w:t xml:space="preserve">Zitiervorschlag: § 53m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https://recht.nulegal.eu/gesetze/KredWG/53m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