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53j KredWG — Anzeigen; Verordnungsermächtigung</w:t>
      </w:r>
    </w:p>
    <w:p>
      <w:r>
        <w:rPr>
          <w:color w:val="555555"/>
          <w:sz w:val="18"/>
        </w:rPr>
        <w:t xml:space="preserve">Kreditwesengesetz</w:t>
      </w:r>
    </w:p>
    <w:p>
      <w:r>
        <w:rPr>
          <w:color w:val="555555"/>
          <w:sz w:val="18"/>
        </w:rPr>
        <w:t xml:space="preserve">Stand: 10.06.2019 (konsolidierte Textfassung, kein amtliches Inkrafttretensdatum)</w:t>
      </w:r>
    </w:p>
    <w:p>
      <w:r>
        <w:t xml:space="preserve">(1) Eine zentrale Gegenpartei hat der Bundesanstalt und der Deutschen Bundesbank jeweils zum Monatsende anzuzeigen:</w:t>
      </w:r>
    </w:p>
    <w:p>
      <w:pPr>
        <w:ind w:left="420"/>
      </w:pPr>
      <w:r>
        <w:t xml:space="preserve">1. die Einhaltung der Einschussanforderungen nach Artikel 41 Absatz 1 Satz 2 und 3 der Verordnung (EU) Nr. 648/2012,</w:t>
      </w:r>
    </w:p>
    <w:p>
      <w:pPr>
        <w:ind w:left="420"/>
      </w:pPr>
      <w:r>
        <w:t xml:space="preserve">2. die Summe des oder der Ausfallfonds nach Artikel 42 Absatz 1 der Verordnung (EU) Nr. 648/2012,</w:t>
      </w:r>
    </w:p>
    <w:p>
      <w:pPr>
        <w:ind w:left="420"/>
      </w:pPr>
      <w:r>
        <w:t xml:space="preserve">3. die Summe der sonstigen Finanzmittel nach Artikel 43 der Verordnung (EU) Nr. 648/2012, einschließlich einer Darlegung, ob der Ausfallfonds und die sonstigen Finanzmittel den Ausfall der beiden nach Artikel 43 Absatz 2 der Verordnung (EU) Nr. 648/2012 bestimmten Clearingmitglieder auffangen können,</w:t>
      </w:r>
    </w:p>
    <w:p>
      <w:pPr>
        <w:ind w:left="420"/>
      </w:pPr>
      <w:r>
        <w:t xml:space="preserve">4. stichtagsbezogen die Summe der für eine Deckung des Liquiditätsbedarfs bestehenden Kreditlinien oder ähnlichen Möglichkeiten und jeweils die diesbezüglichen Gegenparteien sowie den potenziellen täglichen Liquiditätsbedarf nach Artikel 44 Absatz 1 der Verordnung (EU) Nr. 648/2012,</w:t>
      </w:r>
    </w:p>
    <w:p>
      <w:pPr>
        <w:ind w:left="420"/>
      </w:pPr>
      <w:r>
        <w:t xml:space="preserve">5. die Summe aller im Berichtszeitraum nach Artikel 46 Absatz 1 der Verordnung (EU) Nr. 648/2012 entgegengenommenen Sicherheiten aufgeschlüsselt nach Sicherheiten in Form von Geld, Wertpapieren und Garantien; dabei sind die Geldsicherheiten nach Währungen weiter aufzuschlüsseln und die Wertpapiere nach der Art, dem jeweiligen Sicherheitsabschlag und dem jeweiligen Anteil an den Gesamtsicherheiten sowie, soweit gegeben, dem Zeitpunkt der Freigabe und</w:t>
      </w:r>
    </w:p>
    <w:p>
      <w:pPr>
        <w:ind w:left="420"/>
      </w:pPr>
      <w:r>
        <w:t xml:space="preserve">6. die Gegenparteien, bei denen zum Stichtag Finanzmittel im Sinne des Artikels 47 der Verordnung (EU) Nr. 648/2012 angelegt waren, jeweils unter Angabe des angelegten Volumens und der erfolgten Besicherung.</w:t>
      </w:r>
    </w:p>
    <w:p>
      <w:r>
        <w:t xml:space="preserve">(2) Die Unterlagen, die der Bundesanstalt nach der Verordnung (EU) Nr. 648/2012 vorzulegen sind, sind in deutscher Sprache und auf Verlangen der Bundesanstalt zusätzlich in englischer Sprache zu erstellen und vorzulegen. Die Bundesanstalt kann gestatten, dass die Unterlagen ausschließlich in englischer Sprache erstellt und vorgelegt werden.</w:t>
      </w:r>
    </w:p>
    <w:p>
      <w:r>
        <w:t xml:space="preserve">(3) Das Bundesministerium der Finanzen kann durch Rechtsverordnung, die nicht der Zustimmung des Bundesrates bedarf, im Benehmen mit der Deutschen Bundesbank und nach Anhörung der Spitzenverbände der Institute nähere Bestimmungen erlassen über</w:t>
      </w:r>
    </w:p>
    <w:p>
      <w:pPr>
        <w:ind w:left="420"/>
      </w:pPr>
      <w:r>
        <w:t xml:space="preserve">1. Art, Umfang, Zeitpunkt und Form der nach Absatz 1 erforderlichen Anzeigen und der gegebenenfalls zum Nachweis erforderlichen Unterlagen,</w:t>
      </w:r>
    </w:p>
    <w:p>
      <w:pPr>
        <w:ind w:left="420"/>
      </w:pPr>
      <w:r>
        <w:t xml:space="preserve">2. die zulässigen Datenträger, Übertragungswege und Datenformate für diese Anzeigen und</w:t>
      </w:r>
    </w:p>
    <w:p>
      <w:pPr>
        <w:ind w:left="420"/>
      </w:pPr>
      <w:r>
        <w:t xml:space="preserve">3. eine Ergänzung der nach Absatz 1 bestehenden Anzeigepflichten durch die Erstattung von Sammelanzeigen und die Einreichung von Sammelaufstellungen,</w:t>
      </w:r>
    </w:p>
    <w:p>
      <w:r>
        <w:t xml:space="preserve">soweit dies zur Erfüllung der Aufgaben der Bundesanstalt erforderlich ist, insbesondere um einheitliche Unterlagen zur Beurteilung des von zentralen Gegenparteien durchgeführten Clearings zu erhalten. Das Bundesministerium der Finanzen kann diese Ermächtigung durch Rechtsverordnung auf die Bundesanstalt mit der Maßgabe übertragen, dass die Rechtsverordnung im Einvernehmen mit der Deutschen Bundesbank zu erlassen ist.</w:t>
      </w:r>
    </w:p>
    <w:p>
      <w:r>
        <w:rPr>
          <w:color w:val="555555"/>
          <w:sz w:val="17"/>
        </w:rPr>
        <w:t xml:space="preserve">Zitiervorschlag: § 53j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