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53i KredWG — Gewährung des Zugangs nach den Artikeln 7 und 8 der Verordnung (EU) Nr. 648/2012</w:t>
      </w:r>
    </w:p>
    <w:p>
      <w:r>
        <w:rPr>
          <w:color w:val="555555"/>
          <w:sz w:val="18"/>
        </w:rPr>
        <w:t xml:space="preserve">Kreditwesengesetz</w:t>
      </w:r>
    </w:p>
    <w:p>
      <w:r>
        <w:rPr>
          <w:color w:val="555555"/>
          <w:sz w:val="18"/>
        </w:rPr>
        <w:t xml:space="preserve">Stand: 16.12.2023 (konsolidierte Textfassung, kein amtliches Inkrafttretensdatum)</w:t>
      </w:r>
    </w:p>
    <w:p>
      <w:r>
        <w:t xml:space="preserve">Eine zentrale Gegenpartei, der eine Zulassung nach Artikel 14 der Verordnung (EU) Nr. 648/2012 erteilt worden ist, hat die Bundesanstalt über den Eingang von Anträgen auf Zugangsgewährung nach Artikel 7 der Verordnung (EU) Nr. 648/2012 sowie das Stellen eines Antrags auf Zugangsgewährung nach Artikel 8 der Verordnung (EU) Nr. 648/2012 unverzüglich schriftlich oder elektronisch zu informieren. Die Bundesanstalt kann der zentralen Gegenpartei</w:t>
      </w:r>
    </w:p>
    <w:p>
      <w:pPr>
        <w:ind w:left="420"/>
      </w:pPr>
      <w:r>
        <w:t xml:space="preserve">1. unter den in Artikel 7 Absatz 4 der Verordnung (EU) Nr. 648/2012 genannten Voraussetzungen untersagen, einen Zugang im Sinne des Artikels 7 der genannten Verordnung zu gewähren, oder</w:t>
      </w:r>
    </w:p>
    <w:p>
      <w:pPr>
        <w:ind w:left="420"/>
      </w:pPr>
      <w:r>
        <w:t xml:space="preserve">2. unter den in Artikel 8 Absatz 4 der Verordnung (EU) Nr. 648/2012 genannten Voraussetzungen untersagen, einen Zugang zu einem Handelsplatz im Sinne des Artikels 8 der genannten Verordnung einzurichten.</w:t>
      </w:r>
    </w:p>
    <w:p>
      <w:r>
        <w:rPr>
          <w:color w:val="555555"/>
          <w:sz w:val="17"/>
        </w:rPr>
        <w:t xml:space="preserve">Zitiervorschlag: § 53i KredWG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https://recht.nulegal.eu/gesetze/KredWG/53i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